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85938" w14:textId="77777777" w:rsidR="00D82D84" w:rsidRDefault="00D82D84" w:rsidP="00D82D84">
      <w:pPr>
        <w:pStyle w:val="Nadpis1"/>
        <w:tabs>
          <w:tab w:val="left" w:pos="0"/>
        </w:tabs>
        <w:ind w:left="1134" w:hanging="360"/>
      </w:pPr>
      <w:r w:rsidRPr="00C2303E">
        <w:t>Přílo</w:t>
      </w:r>
      <w:bookmarkStart w:id="0" w:name="_GoBack"/>
      <w:bookmarkEnd w:id="0"/>
      <w:r w:rsidRPr="00C2303E">
        <w:t>ha č. 4</w:t>
      </w:r>
    </w:p>
    <w:p w14:paraId="39B37C08" w14:textId="77777777" w:rsidR="00D82D84" w:rsidRPr="001F5380" w:rsidRDefault="00D82D84" w:rsidP="00D82D84"/>
    <w:p w14:paraId="35AA0BB5" w14:textId="77777777" w:rsidR="00D82D84" w:rsidRPr="005772B9" w:rsidRDefault="00D82D84" w:rsidP="00D82D84">
      <w:pPr>
        <w:ind w:left="708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5772B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Standardy prvků VO – svítidla a světelné zdroje</w:t>
      </w:r>
    </w:p>
    <w:p w14:paraId="578FFF8F" w14:textId="77777777" w:rsidR="00D82D84" w:rsidRPr="005772B9" w:rsidRDefault="00D82D84" w:rsidP="00D82D84">
      <w:pPr>
        <w:ind w:left="708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5772B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Popis svítidla do zón 1, 4, 5, 6</w:t>
      </w:r>
    </w:p>
    <w:p w14:paraId="6E642C91" w14:textId="77777777" w:rsidR="006C1B83" w:rsidRPr="006C1B83" w:rsidRDefault="006C1B83" w:rsidP="006C1B8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Optická část</w:t>
      </w:r>
    </w:p>
    <w:p w14:paraId="140EB83B" w14:textId="77777777" w:rsidR="006C1B83" w:rsidRPr="006C1B83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Účinný sekundární asymetrický optický systém s použitím reflektorů s vysokou odrazností (&gt;90%)</w:t>
      </w:r>
    </w:p>
    <w:p w14:paraId="13BE6529" w14:textId="77777777" w:rsidR="006C1B83" w:rsidRPr="00F55E29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F55E29">
        <w:rPr>
          <w:rFonts w:eastAsia="Times New Roman" w:cstheme="minorHAnsi"/>
          <w:color w:val="222222"/>
          <w:lang w:eastAsia="cs-CZ"/>
        </w:rPr>
        <w:t>Reflexní optika s vysokou redukcí jasu</w:t>
      </w:r>
    </w:p>
    <w:p w14:paraId="0A3B9271" w14:textId="77777777" w:rsidR="006C1B83" w:rsidRPr="00F55E29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F55E29">
        <w:rPr>
          <w:rFonts w:eastAsia="Times New Roman" w:cstheme="minorHAnsi"/>
          <w:color w:val="222222"/>
          <w:lang w:eastAsia="cs-CZ"/>
        </w:rPr>
        <w:t>Křivky svítivosti optimalizované pro světelné scény včetně osvětlení cyklostezek </w:t>
      </w:r>
    </w:p>
    <w:p w14:paraId="2A6DA389" w14:textId="77777777" w:rsidR="006C1B83" w:rsidRPr="00F55E29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F55E29">
        <w:rPr>
          <w:rFonts w:eastAsia="Times New Roman" w:cstheme="minorHAnsi"/>
          <w:color w:val="222222"/>
          <w:lang w:eastAsia="cs-CZ"/>
        </w:rPr>
        <w:t>PMMA optický kryt s odolností proti nárazu IK09.</w:t>
      </w:r>
    </w:p>
    <w:p w14:paraId="4B27983C" w14:textId="6BC05731" w:rsidR="006C1B83" w:rsidRPr="00F55E29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F55E29">
        <w:rPr>
          <w:rFonts w:eastAsia="Times New Roman" w:cstheme="minorHAnsi"/>
          <w:color w:val="222222"/>
          <w:lang w:eastAsia="cs-CZ"/>
        </w:rPr>
        <w:t>Výměnný modul LED včetně optické části a driveru </w:t>
      </w:r>
      <w:r w:rsidRPr="00F55E29">
        <w:rPr>
          <w:rFonts w:eastAsia="Times New Roman" w:cstheme="minorHAnsi"/>
          <w:color w:val="222222"/>
          <w:shd w:val="clear" w:color="auto" w:fill="FFE082"/>
          <w:lang w:eastAsia="cs-CZ"/>
        </w:rPr>
        <w:t>snadno přímo na sloupu</w:t>
      </w:r>
      <w:r w:rsidR="00725A36">
        <w:rPr>
          <w:rFonts w:eastAsia="Times New Roman" w:cstheme="minorHAnsi"/>
          <w:color w:val="222222"/>
          <w:shd w:val="clear" w:color="auto" w:fill="FFE082"/>
          <w:lang w:eastAsia="cs-CZ"/>
        </w:rPr>
        <w:t>.</w:t>
      </w:r>
    </w:p>
    <w:p w14:paraId="49080AFD" w14:textId="77777777" w:rsidR="006C1B83" w:rsidRPr="00F55E29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F55E29">
        <w:rPr>
          <w:rFonts w:eastAsia="Times New Roman" w:cstheme="minorHAnsi"/>
          <w:color w:val="222222"/>
          <w:lang w:eastAsia="cs-CZ"/>
        </w:rPr>
        <w:t xml:space="preserve">Měrný světelný tok svítidla &gt;110 (4000K) / &gt;100 (3000 a 2700K) / &gt;80 </w:t>
      </w:r>
      <w:proofErr w:type="spellStart"/>
      <w:r w:rsidRPr="00F55E29">
        <w:rPr>
          <w:rFonts w:eastAsia="Times New Roman" w:cstheme="minorHAnsi"/>
          <w:color w:val="222222"/>
          <w:lang w:eastAsia="cs-CZ"/>
        </w:rPr>
        <w:t>lm</w:t>
      </w:r>
      <w:proofErr w:type="spellEnd"/>
      <w:r w:rsidRPr="00F55E29">
        <w:rPr>
          <w:rFonts w:eastAsia="Times New Roman" w:cstheme="minorHAnsi"/>
          <w:color w:val="222222"/>
          <w:lang w:eastAsia="cs-CZ"/>
        </w:rPr>
        <w:t>/W (1800 - 2400K)</w:t>
      </w:r>
    </w:p>
    <w:p w14:paraId="549A79E7" w14:textId="77777777" w:rsidR="006C1B83" w:rsidRPr="00F55E29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</w:p>
    <w:p w14:paraId="454385A2" w14:textId="77777777" w:rsidR="006C1B83" w:rsidRPr="00F55E29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F55E29">
        <w:rPr>
          <w:rFonts w:eastAsia="Times New Roman" w:cstheme="minorHAnsi"/>
          <w:color w:val="222222"/>
          <w:lang w:eastAsia="cs-CZ"/>
        </w:rPr>
        <w:t>Barva světla (náhradní teplota chromatičnosti a podání barev): 4000K CRI70 / 3000K CRI70 / 1800 - 2700</w:t>
      </w:r>
      <w:r w:rsidRPr="00F55E29">
        <w:rPr>
          <w:rFonts w:eastAsia="Times New Roman" w:cstheme="minorHAnsi"/>
          <w:color w:val="222222"/>
          <w:shd w:val="clear" w:color="auto" w:fill="FFE082"/>
          <w:lang w:eastAsia="cs-CZ"/>
        </w:rPr>
        <w:t>K</w:t>
      </w:r>
      <w:r w:rsidRPr="00F55E29">
        <w:rPr>
          <w:rFonts w:eastAsia="Times New Roman" w:cstheme="minorHAnsi"/>
          <w:color w:val="222222"/>
          <w:lang w:eastAsia="cs-CZ"/>
        </w:rPr>
        <w:t> CRI70</w:t>
      </w:r>
    </w:p>
    <w:p w14:paraId="4A6A7536" w14:textId="77777777" w:rsidR="006C1B83" w:rsidRPr="006C1B83" w:rsidRDefault="006C1B83" w:rsidP="006C1B8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Konstantní světelný tok reagující na základě poklesu světelného toku zdroje (</w:t>
      </w:r>
      <w:proofErr w:type="spellStart"/>
      <w:r w:rsidRPr="006C1B83">
        <w:rPr>
          <w:rFonts w:eastAsia="Times New Roman" w:cstheme="minorHAnsi"/>
          <w:color w:val="222222"/>
          <w:lang w:eastAsia="cs-CZ"/>
        </w:rPr>
        <w:t>constant</w:t>
      </w:r>
      <w:proofErr w:type="spellEnd"/>
      <w:r w:rsidRPr="006C1B83">
        <w:rPr>
          <w:rFonts w:eastAsia="Times New Roman" w:cstheme="minorHAnsi"/>
          <w:color w:val="222222"/>
          <w:lang w:eastAsia="cs-CZ"/>
        </w:rPr>
        <w:t xml:space="preserve"> lumen output - CLO)</w:t>
      </w:r>
    </w:p>
    <w:p w14:paraId="711F7EE4" w14:textId="77777777" w:rsidR="006C1B83" w:rsidRPr="006C1B83" w:rsidRDefault="006C1B83" w:rsidP="006C1B8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Mechanická část</w:t>
      </w:r>
    </w:p>
    <w:p w14:paraId="6053EEB5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Těleso svítidla je z vysokotlace odlévaného hliníku.</w:t>
      </w:r>
    </w:p>
    <w:p w14:paraId="0EF97597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Servis a výměna svítidla s použitím běžného nástroje.</w:t>
      </w:r>
    </w:p>
    <w:p w14:paraId="1320E18C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Hladká horní část svítidla bez žebrování pro snadnější údržbu.</w:t>
      </w:r>
    </w:p>
    <w:p w14:paraId="6F797A78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Určeno pro boční upevnění nebo upevnění na dřík stožáru o průměru 60mm </w:t>
      </w:r>
    </w:p>
    <w:p w14:paraId="225C39CB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Možnost vyklopení svítidla o úhel: ± 0°/5°/10°/15°</w:t>
      </w:r>
    </w:p>
    <w:p w14:paraId="4721DF50" w14:textId="77777777" w:rsidR="006C1B83" w:rsidRPr="006C1B83" w:rsidRDefault="006C1B83" w:rsidP="006C1B83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Pracovní teplotní rozsah: -30 až +30°C.</w:t>
      </w:r>
    </w:p>
    <w:p w14:paraId="7980CD3C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Životnost svítidla: alespoň 100.000h L90B10</w:t>
      </w:r>
    </w:p>
    <w:p w14:paraId="5D4E7A72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Krytí svítidla: IP66</w:t>
      </w:r>
    </w:p>
    <w:p w14:paraId="26BC46CD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Membrána pro vyrovnání tlaku ve svítidle.</w:t>
      </w:r>
    </w:p>
    <w:p w14:paraId="1FF4E2B8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Těleso svítidlo s odolností proti nárazu: IK09 a vyšší</w:t>
      </w:r>
    </w:p>
    <w:p w14:paraId="10AA61D2" w14:textId="77777777" w:rsidR="006C1B83" w:rsidRPr="006C1B83" w:rsidRDefault="006C1B83" w:rsidP="006C1B8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Nerezové šrouby s povrchovou úpravou proti oxidaci</w:t>
      </w:r>
    </w:p>
    <w:p w14:paraId="737778DF" w14:textId="77777777" w:rsidR="006C1B83" w:rsidRPr="006C1B83" w:rsidRDefault="006C1B83" w:rsidP="006C1B8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Elektrická část</w:t>
      </w:r>
    </w:p>
    <w:p w14:paraId="4964FD12" w14:textId="77777777" w:rsidR="006C1B83" w:rsidRPr="006C1B83" w:rsidRDefault="006C1B83" w:rsidP="006C1B8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Napájení:  220..240V, AC, 50/60Hz,</w:t>
      </w:r>
    </w:p>
    <w:p w14:paraId="424D7155" w14:textId="77777777" w:rsidR="006C1B83" w:rsidRPr="006C1B83" w:rsidRDefault="006C1B83" w:rsidP="006C1B8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třída ochrany I nebo II s vyrovnáním potenciálu pro montáž na neuzemněné stožáry (dřevo/beton/plast)</w:t>
      </w:r>
    </w:p>
    <w:p w14:paraId="3001A2E5" w14:textId="77777777" w:rsidR="006C1B83" w:rsidRPr="006C1B83" w:rsidRDefault="006C1B83" w:rsidP="006C1B8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ochrana proti přehřátí</w:t>
      </w:r>
    </w:p>
    <w:p w14:paraId="49D2FCF0" w14:textId="77777777" w:rsidR="006C1B83" w:rsidRPr="006C1B83" w:rsidRDefault="006C1B83" w:rsidP="006C1B8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6C1B83">
        <w:rPr>
          <w:rFonts w:eastAsia="Times New Roman" w:cstheme="minorHAnsi"/>
          <w:color w:val="222222"/>
          <w:lang w:eastAsia="cs-CZ"/>
        </w:rPr>
        <w:t>Odolnost vůči nárazovému napětí: 6kV 1.2/50µs (DIN EN 61037)</w:t>
      </w:r>
    </w:p>
    <w:p w14:paraId="3E3E638C" w14:textId="77777777" w:rsidR="006C1B83" w:rsidRPr="00F55E29" w:rsidRDefault="006C1B83" w:rsidP="006C1B8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05" w:lineRule="atLeast"/>
        <w:rPr>
          <w:rFonts w:eastAsia="Times New Roman" w:cstheme="minorHAnsi"/>
          <w:color w:val="222222"/>
          <w:lang w:eastAsia="cs-CZ"/>
        </w:rPr>
      </w:pPr>
      <w:r w:rsidRPr="00F55E29">
        <w:rPr>
          <w:rFonts w:eastAsia="Times New Roman" w:cstheme="minorHAnsi"/>
          <w:color w:val="222222"/>
          <w:lang w:eastAsia="cs-CZ"/>
        </w:rPr>
        <w:t>Certifikát: CE i ENEC</w:t>
      </w:r>
    </w:p>
    <w:p w14:paraId="1B01D63F" w14:textId="6386C906" w:rsidR="00D82D84" w:rsidRPr="006C1B83" w:rsidRDefault="005772B9" w:rsidP="006C1B83">
      <w:pPr>
        <w:pStyle w:val="Odstavecseseznamem"/>
        <w:numPr>
          <w:ilvl w:val="0"/>
          <w:numId w:val="44"/>
        </w:numPr>
        <w:rPr>
          <w:rFonts w:eastAsiaTheme="majorEastAsia" w:cstheme="minorHAnsi"/>
          <w:color w:val="2F5496" w:themeColor="accent1" w:themeShade="BF"/>
          <w:highlight w:val="yellow"/>
        </w:rPr>
      </w:pPr>
      <w:r w:rsidRPr="00F55E29">
        <w:rPr>
          <w:rFonts w:cstheme="minorHAnsi"/>
        </w:rPr>
        <w:lastRenderedPageBreak/>
        <w:t>svítidlo musí být dostupné v náhradní teplotě chromatičnosti alespoň 3000K, 2700K a také Biodynamické verzi</w:t>
      </w:r>
      <w:r w:rsidR="006C1B83" w:rsidRPr="00F55E29">
        <w:rPr>
          <w:rFonts w:cstheme="minorHAnsi"/>
        </w:rPr>
        <w:t xml:space="preserve"> (nebo alespoň 2200K)</w:t>
      </w:r>
      <w:r w:rsidRPr="00F55E29">
        <w:rPr>
          <w:rFonts w:cstheme="minorHAnsi"/>
        </w:rPr>
        <w:t>, kdy je programem možné mixovat buď PC AMBER a 2700K</w:t>
      </w:r>
      <w:r w:rsidRPr="006C1B83">
        <w:rPr>
          <w:rFonts w:cstheme="minorHAnsi"/>
        </w:rPr>
        <w:t xml:space="preserve"> nebo PC AMBER a 3000K nebo případně PC AMBER a 4000K v závislosti na čase a místě instalace a to plynule.</w:t>
      </w:r>
    </w:p>
    <w:p w14:paraId="3084EB0E" w14:textId="77777777" w:rsidR="00D82D84" w:rsidRPr="006C1B83" w:rsidRDefault="00D82D84" w:rsidP="00D82D84">
      <w:pPr>
        <w:ind w:left="708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6C1B8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Popis svítidla do zón 2, 3</w:t>
      </w:r>
    </w:p>
    <w:p w14:paraId="763A4C74" w14:textId="77777777" w:rsidR="00D82D84" w:rsidRPr="006C1B83" w:rsidRDefault="00D82D84" w:rsidP="00D82D84">
      <w:r w:rsidRPr="006C1B83">
        <w:t xml:space="preserve">Je požadován typ svítidla vyráběný primárně jako LED svítidlo. </w:t>
      </w:r>
    </w:p>
    <w:p w14:paraId="2B5F1700" w14:textId="6503BD2A" w:rsidR="006C1B83" w:rsidRDefault="006C1B83" w:rsidP="006C1B83">
      <w:pPr>
        <w:pStyle w:val="Odstavecseseznamem"/>
        <w:numPr>
          <w:ilvl w:val="0"/>
          <w:numId w:val="41"/>
        </w:numPr>
      </w:pPr>
      <w:r>
        <w:t>celý korpus svítidla z hliníkové slitiny (vyrobený technologií vysokotlakého lití</w:t>
      </w:r>
    </w:p>
    <w:p w14:paraId="7A021D15" w14:textId="103F4FD9" w:rsidR="006C1B83" w:rsidRDefault="006C1B83" w:rsidP="006C1B83">
      <w:pPr>
        <w:pStyle w:val="Odstavecseseznamem"/>
        <w:numPr>
          <w:ilvl w:val="0"/>
          <w:numId w:val="41"/>
        </w:numPr>
      </w:pPr>
      <w:r>
        <w:t>svítidlo splňuje krytí min. IP66 pro optickou i elektrickou část, aby bylo na dlouhou</w:t>
      </w:r>
    </w:p>
    <w:p w14:paraId="3E22B6C6" w14:textId="77777777" w:rsidR="006C1B83" w:rsidRDefault="006C1B83" w:rsidP="006C1B83">
      <w:pPr>
        <w:pStyle w:val="Odstavecseseznamem"/>
      </w:pPr>
      <w:r>
        <w:t>dobu zajištěno naprosto nulové vniknutí vlhkosti i pevných částí.</w:t>
      </w:r>
    </w:p>
    <w:p w14:paraId="54CAA56B" w14:textId="51FFAA17" w:rsidR="006C1B83" w:rsidRDefault="006C1B83" w:rsidP="006C1B83">
      <w:pPr>
        <w:pStyle w:val="Odstavecseseznamem"/>
        <w:numPr>
          <w:ilvl w:val="0"/>
          <w:numId w:val="41"/>
        </w:numPr>
      </w:pPr>
      <w:r>
        <w:t>garance proti korozi a na fotometrické vlastnosti svítidla min. 10 let</w:t>
      </w:r>
    </w:p>
    <w:p w14:paraId="7D38CB64" w14:textId="4F4BE94B" w:rsidR="006C1B83" w:rsidRDefault="006C1B83" w:rsidP="006C1B83">
      <w:pPr>
        <w:pStyle w:val="Odstavecseseznamem"/>
        <w:numPr>
          <w:ilvl w:val="0"/>
          <w:numId w:val="41"/>
        </w:numPr>
      </w:pPr>
      <w:r>
        <w:t>záruka na svítidlo minimálně 5 let a to na všechny jeho součásti i plnou</w:t>
      </w:r>
    </w:p>
    <w:p w14:paraId="06DFAD26" w14:textId="77777777" w:rsidR="006C1B83" w:rsidRDefault="006C1B83" w:rsidP="006C1B83">
      <w:pPr>
        <w:pStyle w:val="Odstavecseseznamem"/>
      </w:pPr>
      <w:r>
        <w:t>užitečná doba života svítidla musí být alespoň L90B10 &amp;</w:t>
      </w:r>
      <w:proofErr w:type="spellStart"/>
      <w:r>
        <w:t>gt</w:t>
      </w:r>
      <w:proofErr w:type="spellEnd"/>
      <w:r>
        <w:t>; 100.000 hodin neboli 25 let a to</w:t>
      </w:r>
    </w:p>
    <w:p w14:paraId="4E023AFC" w14:textId="77777777" w:rsidR="006C1B83" w:rsidRDefault="006C1B83" w:rsidP="006C1B83">
      <w:pPr>
        <w:pStyle w:val="Odstavecseseznamem"/>
      </w:pPr>
      <w:r>
        <w:t xml:space="preserve">s poklesem světelného toku svítidla maximálně o 10% pro 90% </w:t>
      </w:r>
      <w:proofErr w:type="gramStart"/>
      <w:r>
        <w:t>svítidel</w:t>
      </w:r>
      <w:proofErr w:type="gramEnd"/>
      <w:r>
        <w:t xml:space="preserve"> – dle IEC/PAS</w:t>
      </w:r>
    </w:p>
    <w:p w14:paraId="469DA785" w14:textId="77777777" w:rsidR="006C1B83" w:rsidRDefault="006C1B83" w:rsidP="006C1B83">
      <w:pPr>
        <w:pStyle w:val="Odstavecseseznamem"/>
      </w:pPr>
      <w:r>
        <w:t>62717</w:t>
      </w:r>
    </w:p>
    <w:p w14:paraId="29306838" w14:textId="2858AEFE" w:rsidR="006C1B83" w:rsidRDefault="006C1B83" w:rsidP="006C1B83">
      <w:pPr>
        <w:pStyle w:val="Odstavecseseznamem"/>
        <w:numPr>
          <w:ilvl w:val="0"/>
          <w:numId w:val="41"/>
        </w:numPr>
      </w:pPr>
      <w:r>
        <w:t>mechanická odolnost celého svítidla musí být IK08 a vyšší</w:t>
      </w:r>
    </w:p>
    <w:p w14:paraId="411AEA16" w14:textId="48B884E3" w:rsidR="006C1B83" w:rsidRDefault="006C1B83" w:rsidP="006C1B83">
      <w:pPr>
        <w:pStyle w:val="Odstavecseseznamem"/>
        <w:numPr>
          <w:ilvl w:val="0"/>
          <w:numId w:val="41"/>
        </w:numPr>
      </w:pPr>
      <w:r>
        <w:t>svítidlo musí být ve variantách alespoň 6 různých optických charakteristik a alespoň 9</w:t>
      </w:r>
    </w:p>
    <w:p w14:paraId="40931B3E" w14:textId="77777777" w:rsidR="006C1B83" w:rsidRDefault="006C1B83" w:rsidP="006C1B83">
      <w:pPr>
        <w:pStyle w:val="Odstavecseseznamem"/>
      </w:pPr>
      <w:r>
        <w:t>výkonů</w:t>
      </w:r>
    </w:p>
    <w:p w14:paraId="6688FDC7" w14:textId="6A99A83C" w:rsidR="006C1B83" w:rsidRDefault="006C1B83" w:rsidP="006C1B83">
      <w:pPr>
        <w:pStyle w:val="Odstavecseseznamem"/>
        <w:numPr>
          <w:ilvl w:val="0"/>
          <w:numId w:val="41"/>
        </w:numPr>
      </w:pPr>
      <w:r>
        <w:t xml:space="preserve">Z důvodu závislosti životnosti LED na teplotě požadujeme, protože je lepší použít </w:t>
      </w:r>
      <w:proofErr w:type="gramStart"/>
      <w:r>
        <w:t>ve</w:t>
      </w:r>
      <w:proofErr w:type="gramEnd"/>
    </w:p>
    <w:p w14:paraId="307C967B" w14:textId="77777777" w:rsidR="006C1B83" w:rsidRDefault="006C1B83" w:rsidP="006C1B83">
      <w:pPr>
        <w:pStyle w:val="Odstavecseseznamem"/>
      </w:pPr>
      <w:proofErr w:type="gramStart"/>
      <w:r>
        <w:t>svítidlech</w:t>
      </w:r>
      <w:proofErr w:type="gramEnd"/>
      <w:r>
        <w:t xml:space="preserve"> reflektory místo čoček na světelných diodách. Je vhodné proto použít pouze </w:t>
      </w:r>
      <w:proofErr w:type="gramStart"/>
      <w:r>
        <w:t>bez</w:t>
      </w:r>
      <w:proofErr w:type="gramEnd"/>
      <w:r>
        <w:t>-</w:t>
      </w:r>
    </w:p>
    <w:p w14:paraId="36A5C8B2" w14:textId="77777777" w:rsidR="006C1B83" w:rsidRDefault="006C1B83" w:rsidP="006C1B83">
      <w:pPr>
        <w:pStyle w:val="Odstavecseseznamem"/>
      </w:pPr>
      <w:r>
        <w:t>čočková řešení a usměrňovat nebo odrážet světlo dále od světelných diod.</w:t>
      </w:r>
    </w:p>
    <w:p w14:paraId="1111309B" w14:textId="55374B3D" w:rsidR="006C1B83" w:rsidRDefault="006C1B83" w:rsidP="006C1B83">
      <w:pPr>
        <w:pStyle w:val="Odstavecseseznamem"/>
        <w:numPr>
          <w:ilvl w:val="0"/>
          <w:numId w:val="41"/>
        </w:numPr>
      </w:pPr>
      <w:r>
        <w:t>Svítidlo musí být řešeno nepřímým nebo polopřímým vyzařováním, tj. s primárním nebo</w:t>
      </w:r>
    </w:p>
    <w:p w14:paraId="3299E219" w14:textId="7F0055D1" w:rsidR="006C1B83" w:rsidRDefault="006C1B83" w:rsidP="006C1B83">
      <w:pPr>
        <w:pStyle w:val="Odstavecseseznamem"/>
      </w:pPr>
      <w:r>
        <w:t>sekundárním odrazem od reflektoru a musí být zajištěn úhel clonění (úhel od vodorovné osy, který zajišťuje, že se uživatel nepodívá přímo do světelného zdroje) minimálně 10°.</w:t>
      </w:r>
    </w:p>
    <w:p w14:paraId="5483B1CC" w14:textId="4E379C78" w:rsidR="006C1B83" w:rsidRDefault="006C1B83" w:rsidP="006C1B83">
      <w:pPr>
        <w:pStyle w:val="Odstavecseseznamem"/>
        <w:numPr>
          <w:ilvl w:val="0"/>
          <w:numId w:val="41"/>
        </w:numPr>
      </w:pPr>
      <w:r>
        <w:t xml:space="preserve">volitelně může být dodáno s integrovanou přepěťovou ochranou 10kV kvůli odolnosti </w:t>
      </w:r>
      <w:proofErr w:type="gramStart"/>
      <w:r>
        <w:t>vůči</w:t>
      </w:r>
      <w:proofErr w:type="gramEnd"/>
    </w:p>
    <w:p w14:paraId="5B48BB58" w14:textId="77777777" w:rsidR="006C1B83" w:rsidRDefault="006C1B83" w:rsidP="006C1B83">
      <w:pPr>
        <w:pStyle w:val="Odstavecseseznamem"/>
      </w:pPr>
      <w:r>
        <w:t>proudovým a napěťovým rázům a v základu alespoň 6kV</w:t>
      </w:r>
    </w:p>
    <w:p w14:paraId="10480FD0" w14:textId="410738A5" w:rsidR="006C1B83" w:rsidRDefault="006C1B83" w:rsidP="006C1B83">
      <w:pPr>
        <w:pStyle w:val="Odstavecseseznamem"/>
        <w:numPr>
          <w:ilvl w:val="0"/>
          <w:numId w:val="41"/>
        </w:numPr>
      </w:pPr>
      <w:r>
        <w:t>teplota okolí v provozu musí být pro svítidlo umožněna v rozmezí alespoň -30 a + 35°C</w:t>
      </w:r>
    </w:p>
    <w:p w14:paraId="3793672B" w14:textId="393F017E" w:rsidR="006C1B83" w:rsidRDefault="006C1B83" w:rsidP="006C1B83">
      <w:pPr>
        <w:pStyle w:val="Odstavecseseznamem"/>
        <w:numPr>
          <w:ilvl w:val="0"/>
          <w:numId w:val="41"/>
        </w:numPr>
      </w:pPr>
      <w:r>
        <w:t xml:space="preserve">svítidlo musí být dostupné v třídě ochrany I </w:t>
      </w:r>
      <w:proofErr w:type="spellStart"/>
      <w:r>
        <w:t>i</w:t>
      </w:r>
      <w:proofErr w:type="spellEnd"/>
      <w:r>
        <w:t xml:space="preserve"> II</w:t>
      </w:r>
    </w:p>
    <w:p w14:paraId="2CE9B6D6" w14:textId="3459EC6D" w:rsidR="006C1B83" w:rsidRDefault="006C1B83" w:rsidP="006C1B83">
      <w:pPr>
        <w:pStyle w:val="Odstavecseseznamem"/>
        <w:numPr>
          <w:ilvl w:val="0"/>
          <w:numId w:val="41"/>
        </w:numPr>
      </w:pPr>
      <w:r>
        <w:t>svítidlo musí splňovat normy a standardy CE, ENEC, a dále 2004/108/EC, 2006/95/EC,</w:t>
      </w:r>
    </w:p>
    <w:p w14:paraId="1D17FDE5" w14:textId="77777777" w:rsidR="006C1B83" w:rsidRDefault="006C1B83" w:rsidP="006C1B83">
      <w:pPr>
        <w:pStyle w:val="Odstavecseseznamem"/>
      </w:pPr>
      <w:r>
        <w:t>2011/65/EC, 2009/125/EC, 1194/2012/EU, ČSN EN 60598, ČSN EN 62471, ČSN EN 55015,</w:t>
      </w:r>
    </w:p>
    <w:p w14:paraId="3C73FEFA" w14:textId="77777777" w:rsidR="006C1B83" w:rsidRDefault="006C1B83" w:rsidP="006C1B83">
      <w:pPr>
        <w:pStyle w:val="Odstavecseseznamem"/>
      </w:pPr>
      <w:r>
        <w:t>ČSN EN 61000, ČSN EN 62493 i ČSN EN 61547</w:t>
      </w:r>
    </w:p>
    <w:p w14:paraId="77EBD6C7" w14:textId="36A817BF" w:rsidR="006C1B83" w:rsidRDefault="006C1B83" w:rsidP="006C1B83">
      <w:pPr>
        <w:pStyle w:val="Odstavecseseznamem"/>
        <w:numPr>
          <w:ilvl w:val="0"/>
          <w:numId w:val="41"/>
        </w:numPr>
      </w:pPr>
      <w:r>
        <w:t>Měrný výkon svítidla musí být alespoň 95lm/W (3000K), 100lm/W (4000K) nebo &amp;gt;80lm/W (1800-2700K) a musí být na vyžádání doložen test report, který dokládá teplotní zkoušku použitých čipů pro různé teploty a proudy, životnosti a účinnosti.</w:t>
      </w:r>
    </w:p>
    <w:p w14:paraId="40B8EFDA" w14:textId="009EF801" w:rsidR="006C1B83" w:rsidRDefault="006C1B83" w:rsidP="006C1B83">
      <w:pPr>
        <w:pStyle w:val="Odstavecseseznamem"/>
        <w:numPr>
          <w:ilvl w:val="0"/>
          <w:numId w:val="41"/>
        </w:numPr>
      </w:pPr>
      <w:r>
        <w:t xml:space="preserve">index podání barev CRI neboli </w:t>
      </w:r>
      <w:proofErr w:type="spellStart"/>
      <w:r>
        <w:t>Ra</w:t>
      </w:r>
      <w:proofErr w:type="spellEnd"/>
      <w:r>
        <w:t xml:space="preserve"> musí být alespoň 70 pro 2700K a výše a &amp;gt;50 pro 1800 až 2500K</w:t>
      </w:r>
    </w:p>
    <w:p w14:paraId="11D6515E" w14:textId="2F62BF19" w:rsidR="006C1B83" w:rsidRDefault="006C1B83" w:rsidP="006C1B83">
      <w:pPr>
        <w:pStyle w:val="Odstavecseseznamem"/>
        <w:numPr>
          <w:ilvl w:val="0"/>
          <w:numId w:val="41"/>
        </w:numPr>
      </w:pPr>
      <w:r>
        <w:t>předpokládaná poruchovost za dobu života musí být maximálně 15% (uvedeno od každého</w:t>
      </w:r>
    </w:p>
    <w:p w14:paraId="65FC4E73" w14:textId="77777777" w:rsidR="006C1B83" w:rsidRDefault="006C1B83" w:rsidP="006C1B83">
      <w:pPr>
        <w:pStyle w:val="Odstavecseseznamem"/>
      </w:pPr>
      <w:r>
        <w:t>solidního výrobce)</w:t>
      </w:r>
    </w:p>
    <w:p w14:paraId="1B5A80AC" w14:textId="7E4DBBBC" w:rsidR="006C1B83" w:rsidRDefault="006C1B83" w:rsidP="006C1B83">
      <w:pPr>
        <w:pStyle w:val="Odstavecseseznamem"/>
        <w:numPr>
          <w:ilvl w:val="0"/>
          <w:numId w:val="41"/>
        </w:numPr>
      </w:pPr>
      <w:r>
        <w:t>svítidlo musí být dostupné v barvách dle stupnice RAL (RXXXX)</w:t>
      </w:r>
    </w:p>
    <w:p w14:paraId="7A0719BA" w14:textId="6A886A4E" w:rsidR="006C1B83" w:rsidRDefault="006C1B83" w:rsidP="006C1B83">
      <w:pPr>
        <w:pStyle w:val="Odstavecseseznamem"/>
        <w:numPr>
          <w:ilvl w:val="0"/>
          <w:numId w:val="41"/>
        </w:numPr>
      </w:pPr>
      <w:r>
        <w:t>svítidlo musí mít množství světla vyzařující do horního poloprostoru při 0° náklonu ULOR =</w:t>
      </w:r>
    </w:p>
    <w:p w14:paraId="7D72ED34" w14:textId="77777777" w:rsidR="006C1B83" w:rsidRDefault="006C1B83" w:rsidP="006C1B83">
      <w:pPr>
        <w:pStyle w:val="Odstavecseseznamem"/>
      </w:pPr>
      <w:r>
        <w:t>0% (neuvažuje se odraz o držáku, nohy svítidla nebo jiné externí odrazy</w:t>
      </w:r>
    </w:p>
    <w:p w14:paraId="3D02CED0" w14:textId="3ACBF107" w:rsidR="006C1B83" w:rsidRDefault="006C1B83" w:rsidP="006C1B83">
      <w:pPr>
        <w:pStyle w:val="Odstavecseseznamem"/>
        <w:numPr>
          <w:ilvl w:val="0"/>
          <w:numId w:val="41"/>
        </w:numPr>
      </w:pPr>
      <w:r>
        <w:t>svítidlo musí být dostupné s technologií CLO (</w:t>
      </w:r>
      <w:proofErr w:type="spellStart"/>
      <w:r>
        <w:t>constant</w:t>
      </w:r>
      <w:proofErr w:type="spellEnd"/>
      <w:r>
        <w:t xml:space="preserve"> lumen output = stálý světelný tok) -</w:t>
      </w:r>
    </w:p>
    <w:p w14:paraId="2FC4E332" w14:textId="77777777" w:rsidR="006C1B83" w:rsidRDefault="006C1B83" w:rsidP="006C1B83">
      <w:pPr>
        <w:pStyle w:val="Odstavecseseznamem"/>
      </w:pPr>
      <w:r>
        <w:t>postupného automatického navyšování výkonu po dobu životnosti svítidla, s autonomním</w:t>
      </w:r>
    </w:p>
    <w:p w14:paraId="2F4CC2A4" w14:textId="77777777" w:rsidR="006C1B83" w:rsidRDefault="006C1B83" w:rsidP="006C1B83">
      <w:pPr>
        <w:pStyle w:val="Odstavecseseznamem"/>
      </w:pPr>
      <w:r>
        <w:t>nočním stmíváním dle vyžádaného nastavení, s nastavením automatického stmívání při</w:t>
      </w:r>
    </w:p>
    <w:p w14:paraId="2ED3E060" w14:textId="77777777" w:rsidR="006C1B83" w:rsidRDefault="006C1B83" w:rsidP="006C1B83">
      <w:pPr>
        <w:pStyle w:val="Odstavecseseznamem"/>
      </w:pPr>
      <w:r>
        <w:lastRenderedPageBreak/>
        <w:t>překročení teploty svítidla určitou mez a rovněž také v provedení DALI, 1-10V i fixní bez</w:t>
      </w:r>
    </w:p>
    <w:p w14:paraId="115391B4" w14:textId="77777777" w:rsidR="006C1B83" w:rsidRDefault="006C1B83" w:rsidP="006C1B83">
      <w:pPr>
        <w:pStyle w:val="Odstavecseseznamem"/>
      </w:pPr>
      <w:r>
        <w:t>těchto možností</w:t>
      </w:r>
    </w:p>
    <w:p w14:paraId="4E095D2A" w14:textId="619FF2FE" w:rsidR="006C1B83" w:rsidRDefault="006C1B83" w:rsidP="006C1B83">
      <w:pPr>
        <w:pStyle w:val="Odstavecseseznamem"/>
        <w:numPr>
          <w:ilvl w:val="0"/>
          <w:numId w:val="41"/>
        </w:numPr>
      </w:pPr>
      <w:r>
        <w:t>svítidlo nesmí mít nikde žádné ostré úhly a nesmí mít žebrování, kde by se mohly usadit</w:t>
      </w:r>
    </w:p>
    <w:p w14:paraId="5847E5A1" w14:textId="77777777" w:rsidR="006C1B83" w:rsidRDefault="006C1B83" w:rsidP="006C1B83">
      <w:pPr>
        <w:pStyle w:val="Odstavecseseznamem"/>
      </w:pPr>
      <w:r>
        <w:t>jakékoliv nečistoty.</w:t>
      </w:r>
    </w:p>
    <w:p w14:paraId="0AF69355" w14:textId="77777777" w:rsidR="006C1B83" w:rsidRDefault="006C1B83" w:rsidP="006C1B83">
      <w:pPr>
        <w:pStyle w:val="Odstavecseseznamem"/>
        <w:numPr>
          <w:ilvl w:val="0"/>
          <w:numId w:val="41"/>
        </w:numPr>
      </w:pPr>
      <w:r>
        <w:t>Zároveň není možné použít aktivní chlazení</w:t>
      </w:r>
    </w:p>
    <w:p w14:paraId="23A835B9" w14:textId="2C95D419" w:rsidR="006C1B83" w:rsidRDefault="006C1B83" w:rsidP="006C1B83">
      <w:pPr>
        <w:pStyle w:val="Odstavecseseznamem"/>
        <w:numPr>
          <w:ilvl w:val="0"/>
          <w:numId w:val="41"/>
        </w:numPr>
      </w:pPr>
      <w:r>
        <w:t>Svítidlo musí být dostupné alespoň ve 2 běžných variantách teploty chromatičnosti</w:t>
      </w:r>
    </w:p>
    <w:p w14:paraId="0721C73D" w14:textId="0AB9E4CB" w:rsidR="006C1B83" w:rsidRDefault="006C1B83" w:rsidP="006C1B83">
      <w:pPr>
        <w:pStyle w:val="Odstavecseseznamem"/>
        <w:numPr>
          <w:ilvl w:val="0"/>
          <w:numId w:val="41"/>
        </w:numPr>
      </w:pPr>
      <w:r>
        <w:t>Svítidlo musí být ve schváleném designu obcí se 2 nebo 1 ramenem nebo velmi podobném</w:t>
      </w:r>
    </w:p>
    <w:p w14:paraId="35E51826" w14:textId="77777777" w:rsidR="006C1B83" w:rsidRDefault="006C1B83" w:rsidP="006C1B83">
      <w:pPr>
        <w:pStyle w:val="Odstavecseseznamem"/>
      </w:pPr>
      <w:r>
        <w:t>Svítidlo musí mít parametry:</w:t>
      </w:r>
    </w:p>
    <w:p w14:paraId="30DC2AFE" w14:textId="77777777" w:rsidR="006C1B83" w:rsidRDefault="006C1B83" w:rsidP="006C1B83">
      <w:pPr>
        <w:pStyle w:val="Odstavecseseznamem"/>
      </w:pPr>
      <w:r>
        <w:t>a) Ploché sklo</w:t>
      </w:r>
    </w:p>
    <w:p w14:paraId="096A2D2A" w14:textId="77777777" w:rsidR="006C1B83" w:rsidRDefault="006C1B83" w:rsidP="006C1B83">
      <w:pPr>
        <w:pStyle w:val="Odstavecseseznamem"/>
      </w:pPr>
      <w:r>
        <w:t>b) (více jak 20m při 8 metrů široké komunikaci a 5m výšce při</w:t>
      </w:r>
    </w:p>
    <w:p w14:paraId="49536465" w14:textId="77777777" w:rsidR="006C1B83" w:rsidRDefault="006C1B83" w:rsidP="006C1B83">
      <w:pPr>
        <w:pStyle w:val="Odstavecseseznamem"/>
      </w:pPr>
      <w:r>
        <w:t>komunikaci P4 – informace pro světelné techniky)</w:t>
      </w:r>
    </w:p>
    <w:p w14:paraId="1F3F631D" w14:textId="77777777" w:rsidR="006C1B83" w:rsidRDefault="006C1B83" w:rsidP="006C1B83">
      <w:pPr>
        <w:pStyle w:val="Odstavecseseznamem"/>
      </w:pPr>
      <w:r>
        <w:t>c) 38 až 40W</w:t>
      </w:r>
    </w:p>
    <w:p w14:paraId="5DCA2301" w14:textId="77777777" w:rsidR="006C1B83" w:rsidRDefault="006C1B83" w:rsidP="006C1B83">
      <w:pPr>
        <w:pStyle w:val="Odstavecseseznamem"/>
      </w:pPr>
      <w:r>
        <w:t>d) 3000K teplota chromatičnosti</w:t>
      </w:r>
    </w:p>
    <w:p w14:paraId="2EADC48A" w14:textId="77777777" w:rsidR="006C1B83" w:rsidRDefault="006C1B83" w:rsidP="006C1B83">
      <w:pPr>
        <w:pStyle w:val="Odstavecseseznamem"/>
      </w:pPr>
      <w:r>
        <w:t>e) Připravenost pro budoucí případné SMART funkcionality - DALI</w:t>
      </w:r>
    </w:p>
    <w:p w14:paraId="5B59C08B" w14:textId="77777777" w:rsidR="006C1B83" w:rsidRDefault="006C1B83" w:rsidP="006C1B83">
      <w:pPr>
        <w:pStyle w:val="Odstavecseseznamem"/>
      </w:pPr>
      <w:r>
        <w:t>f) S přepěťovou ochranou alespoň 8kV</w:t>
      </w:r>
    </w:p>
    <w:p w14:paraId="1D3C693E" w14:textId="77777777" w:rsidR="006C1B83" w:rsidRDefault="006C1B83" w:rsidP="006C1B83">
      <w:pPr>
        <w:pStyle w:val="Odstavecseseznamem"/>
      </w:pPr>
      <w:r>
        <w:t>g) Třída ochrany I</w:t>
      </w:r>
    </w:p>
    <w:p w14:paraId="319E33B6" w14:textId="77777777" w:rsidR="006C1B83" w:rsidRDefault="006C1B83" w:rsidP="006C1B83">
      <w:pPr>
        <w:pStyle w:val="Odstavecseseznamem"/>
      </w:pPr>
      <w:r>
        <w:t>h) Instalace na sloup/dřík o průměru 60mm</w:t>
      </w:r>
    </w:p>
    <w:p w14:paraId="1D328BD6" w14:textId="77777777" w:rsidR="006C1B83" w:rsidRDefault="006C1B83" w:rsidP="006C1B83">
      <w:pPr>
        <w:pStyle w:val="Odstavecseseznamem"/>
      </w:pPr>
      <w:r>
        <w:t>i) Nutné velmi obtížné pro rozmontování a tudíž také dodané</w:t>
      </w:r>
    </w:p>
    <w:p w14:paraId="2AEB7524" w14:textId="372B457E" w:rsidR="00D82D84" w:rsidRPr="004C0DBC" w:rsidRDefault="006C1B83" w:rsidP="006C1B83">
      <w:pPr>
        <w:pStyle w:val="Odstavecseseznamem"/>
        <w:rPr>
          <w:rFonts w:cs="Arial"/>
          <w:highlight w:val="yellow"/>
        </w:rPr>
      </w:pPr>
      <w:r>
        <w:t xml:space="preserve">s alespoň 7m dlouhým kabelem již </w:t>
      </w:r>
      <w:proofErr w:type="spellStart"/>
      <w:r>
        <w:t>předzapojeným</w:t>
      </w:r>
      <w:proofErr w:type="spellEnd"/>
    </w:p>
    <w:p w14:paraId="25F9BC9F" w14:textId="77777777" w:rsidR="00D82D84" w:rsidRPr="004C0DBC" w:rsidRDefault="00D82D84" w:rsidP="00D82D84">
      <w:pPr>
        <w:ind w:left="708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highlight w:val="yellow"/>
        </w:rPr>
      </w:pPr>
    </w:p>
    <w:p w14:paraId="78C5F1BB" w14:textId="77777777" w:rsidR="00D82D84" w:rsidRPr="00C94565" w:rsidRDefault="00D82D84" w:rsidP="00D82D84">
      <w:pPr>
        <w:ind w:left="708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C94565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Přechodová svítidla</w:t>
      </w:r>
    </w:p>
    <w:p w14:paraId="31DA84E9" w14:textId="3A3001F1" w:rsidR="00D82D84" w:rsidRPr="00C94565" w:rsidRDefault="00D82D84" w:rsidP="00C94565">
      <w:r w:rsidRPr="00C94565">
        <w:t>Je požadován typ svítidla vyráběný primárně jako LED svítidlo.</w:t>
      </w:r>
      <w:r w:rsidR="00C94565" w:rsidRPr="00C94565">
        <w:t xml:space="preserve"> </w:t>
      </w:r>
    </w:p>
    <w:p w14:paraId="0D44DD9D" w14:textId="77777777" w:rsidR="00C94565" w:rsidRDefault="00C94565" w:rsidP="00C94565">
      <w:bookmarkStart w:id="1" w:name="_Hlk50413506"/>
      <w:r>
        <w:t>Optická část</w:t>
      </w:r>
    </w:p>
    <w:p w14:paraId="25F67E91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 xml:space="preserve">Účinný sekundární asymetrický optický systém s použitím reflektorů s vysokou odrazností (97,4%) </w:t>
      </w:r>
    </w:p>
    <w:p w14:paraId="7C6252CB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>Tří zónová fasetovaná optika s vysokou redukcí jasu</w:t>
      </w:r>
    </w:p>
    <w:p w14:paraId="630F38F2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>Křivky svítivosti optimalizované pro světelné scény včetně osvětlení cyklostezek a přechodů pro chodce.</w:t>
      </w:r>
    </w:p>
    <w:p w14:paraId="5A0877DA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>PMMA optický kryt s odolností proti nárazu IK09.</w:t>
      </w:r>
    </w:p>
    <w:p w14:paraId="11EABB2B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>Výměnný modul LED včetně optické části a driveru bez použití nástroje</w:t>
      </w:r>
    </w:p>
    <w:p w14:paraId="751B1358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>Zamezení přístupu do prostoru pro LED. Ochrana ESD.</w:t>
      </w:r>
    </w:p>
    <w:p w14:paraId="2AC2160C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 xml:space="preserve">Měrný výkon  &gt; 130 / 110 / 100 </w:t>
      </w:r>
      <w:proofErr w:type="spellStart"/>
      <w:r>
        <w:t>lm</w:t>
      </w:r>
      <w:proofErr w:type="spellEnd"/>
      <w:r>
        <w:t>/W</w:t>
      </w:r>
    </w:p>
    <w:p w14:paraId="72D4A698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>Barva světla: 4000K CRI70 / 3000K CRI80 / 2200K CRI70</w:t>
      </w:r>
    </w:p>
    <w:p w14:paraId="6308060F" w14:textId="77777777" w:rsidR="00C94565" w:rsidRDefault="00C94565" w:rsidP="00C94565">
      <w:pPr>
        <w:pStyle w:val="Odstavecseseznamem"/>
        <w:numPr>
          <w:ilvl w:val="0"/>
          <w:numId w:val="3"/>
        </w:numPr>
        <w:spacing w:line="256" w:lineRule="auto"/>
      </w:pPr>
      <w:r>
        <w:t>Konstantní světelný tok reagující na základě teploty okolí a poklesu světelného toku zdroje (</w:t>
      </w:r>
      <w:proofErr w:type="spellStart"/>
      <w:r>
        <w:t>constant</w:t>
      </w:r>
      <w:proofErr w:type="spellEnd"/>
      <w:r>
        <w:t xml:space="preserve"> lumen output 2.0)</w:t>
      </w:r>
    </w:p>
    <w:p w14:paraId="45DD5C91" w14:textId="77777777" w:rsidR="00C94565" w:rsidRDefault="00C94565" w:rsidP="00C94565">
      <w:r>
        <w:t>Mechanická část</w:t>
      </w:r>
    </w:p>
    <w:p w14:paraId="58350ED3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Těleso svítidla je z tlakově odlévaného hliníku.</w:t>
      </w:r>
    </w:p>
    <w:p w14:paraId="0686A0ED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3 velikosti dle příkonové řady ve stejném designu</w:t>
      </w:r>
    </w:p>
    <w:p w14:paraId="75D869A1" w14:textId="39A6232C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 xml:space="preserve">Povrchová úprava práškovou </w:t>
      </w:r>
      <w:proofErr w:type="gramStart"/>
      <w:r>
        <w:t>vypalovací b</w:t>
      </w:r>
      <w:r w:rsidR="00733011">
        <w:t>(VO</w:t>
      </w:r>
      <w:proofErr w:type="gramEnd"/>
      <w:r w:rsidR="00733011">
        <w:t xml:space="preserve"> NOD)</w:t>
      </w:r>
      <w:r>
        <w:t>u DB 702S.</w:t>
      </w:r>
    </w:p>
    <w:p w14:paraId="0A5934E9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Servis a výměna svítidla bez použití nástroje.</w:t>
      </w:r>
    </w:p>
    <w:p w14:paraId="1B4F8605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lastRenderedPageBreak/>
        <w:t>Hladká horní část svítidla bez žebrování pro snadnější údržbu.</w:t>
      </w:r>
    </w:p>
    <w:p w14:paraId="54D52A35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Určeno pro boční upevnění nebo upevnění na dřík stožáru o průměru 60mm , pro dřík 76mm</w:t>
      </w:r>
    </w:p>
    <w:p w14:paraId="10C11C88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Mužnost vyklopení svítidla o úhel: ± 0°/5°/10°/15°</w:t>
      </w:r>
    </w:p>
    <w:p w14:paraId="5B7048C0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Pracovní teplotní rozsah: -25 až +50°C.</w:t>
      </w:r>
    </w:p>
    <w:p w14:paraId="7DA3C231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Životnost svítidla: 100.000h L95B10.</w:t>
      </w:r>
    </w:p>
    <w:p w14:paraId="0E5DC6D8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Krytí svítidla: IP66</w:t>
      </w:r>
    </w:p>
    <w:p w14:paraId="3EA1F574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Membrána pro vyrovnání tlaku ve svítidle.</w:t>
      </w:r>
    </w:p>
    <w:p w14:paraId="66524AB1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Těleso svítidlo s odolností proti nárazu: IK10</w:t>
      </w:r>
    </w:p>
    <w:p w14:paraId="7E08432F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Předinstalovaný napájecí kabel</w:t>
      </w:r>
    </w:p>
    <w:p w14:paraId="1E066EF1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Nerezové šrouby s povrchovou úpravou proti oxidaci</w:t>
      </w:r>
    </w:p>
    <w:p w14:paraId="77DAD99B" w14:textId="77777777" w:rsidR="00C94565" w:rsidRDefault="00C94565" w:rsidP="00C94565">
      <w:r>
        <w:t>Elektrická část</w:t>
      </w:r>
    </w:p>
    <w:p w14:paraId="21DB0925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Napájení:  220..240V, AC, 50/60Hz,</w:t>
      </w:r>
    </w:p>
    <w:p w14:paraId="6AFA9167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Driver s mikročipem s oboustrannou komunikací mezi LED modulem a driverem s pamětí posledních provozních stavů modulu a driveru</w:t>
      </w:r>
    </w:p>
    <w:p w14:paraId="29A908C4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třída ochrany II s vyrovnáním potenciálu pro montáž na neuzemněné stožáry (dřevo/beton/plast)</w:t>
      </w:r>
    </w:p>
    <w:p w14:paraId="54C213DB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ochrana proti přehřátí</w:t>
      </w:r>
    </w:p>
    <w:p w14:paraId="34808B6E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Odolnost vůči nárazovému napětí: 6kV 1.2/50µs (DIN EN 61037)</w:t>
      </w:r>
    </w:p>
    <w:p w14:paraId="4271D0C1" w14:textId="77777777" w:rsidR="00C94565" w:rsidRDefault="00C94565" w:rsidP="00C94565">
      <w:pPr>
        <w:pStyle w:val="Odstavecseseznamem"/>
        <w:numPr>
          <w:ilvl w:val="0"/>
          <w:numId w:val="4"/>
        </w:numPr>
        <w:spacing w:line="256" w:lineRule="auto"/>
      </w:pPr>
      <w:r>
        <w:t>Certifikát: ENEC</w:t>
      </w:r>
    </w:p>
    <w:bookmarkEnd w:id="1"/>
    <w:p w14:paraId="5EC74926" w14:textId="77777777" w:rsidR="00C94565" w:rsidRPr="00C94565" w:rsidRDefault="00C94565" w:rsidP="00C94565">
      <w:pPr>
        <w:rPr>
          <w:highlight w:val="yellow"/>
        </w:rPr>
      </w:pPr>
    </w:p>
    <w:p w14:paraId="032A862B" w14:textId="77777777" w:rsidR="00D82D84" w:rsidRDefault="00D82D84" w:rsidP="00D82D84">
      <w:pPr>
        <w:jc w:val="center"/>
      </w:pPr>
    </w:p>
    <w:p w14:paraId="1169C996" w14:textId="77777777" w:rsidR="00D82D84" w:rsidRDefault="00D82D84" w:rsidP="00D82D84">
      <w:pPr>
        <w:jc w:val="center"/>
      </w:pPr>
    </w:p>
    <w:p w14:paraId="2D57507E" w14:textId="3E3B6762" w:rsidR="00733011" w:rsidRPr="005772B9" w:rsidRDefault="00733011" w:rsidP="0073301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5772B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Standardy prvků VO – </w:t>
      </w:r>
      <w:r w:rsidRPr="0073301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SYSTÉM ŘÍZENÍ VEŘEJNÉHO OSVĚTLENÍ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, </w:t>
      </w:r>
      <w:r w:rsidRPr="0073301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SYSTÉM PROPOJENÝCH ZAŘÍZENÍ NA SÍTI VEŘEJNÉHO OSVĚTLENÍ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, </w:t>
      </w:r>
      <w:r w:rsidRPr="0073301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VYTVÁŘENÍ KOUNIKAČNÍ SÍTĚ PRO DALŠÍ ZAŘÍZENÍ</w:t>
      </w:r>
    </w:p>
    <w:p w14:paraId="2267282F" w14:textId="77777777" w:rsidR="00D82D84" w:rsidRPr="00C77EBC" w:rsidRDefault="00D82D84" w:rsidP="00D82D84">
      <w:pPr>
        <w:jc w:val="center"/>
      </w:pPr>
    </w:p>
    <w:p w14:paraId="59349AB9" w14:textId="77777777" w:rsidR="00733011" w:rsidRDefault="00733011" w:rsidP="00733011">
      <w:pPr>
        <w:pStyle w:val="Default"/>
      </w:pPr>
    </w:p>
    <w:p w14:paraId="5220936E" w14:textId="77777777" w:rsidR="00733011" w:rsidRDefault="00733011" w:rsidP="00733011">
      <w:pPr>
        <w:pStyle w:val="Default"/>
        <w:rPr>
          <w:color w:val="auto"/>
        </w:rPr>
      </w:pPr>
    </w:p>
    <w:p w14:paraId="46C4D633" w14:textId="77777777" w:rsidR="00733011" w:rsidRPr="00733011" w:rsidRDefault="00733011" w:rsidP="00733011">
      <w:pPr>
        <w:pStyle w:val="Default"/>
        <w:rPr>
          <w:color w:val="auto"/>
          <w:sz w:val="22"/>
          <w:szCs w:val="22"/>
        </w:rPr>
      </w:pPr>
      <w:r w:rsidRPr="00733011">
        <w:rPr>
          <w:color w:val="auto"/>
          <w:sz w:val="22"/>
          <w:szCs w:val="22"/>
        </w:rPr>
        <w:t xml:space="preserve"> </w:t>
      </w:r>
      <w:r w:rsidRPr="00733011">
        <w:rPr>
          <w:b/>
          <w:bCs/>
          <w:color w:val="auto"/>
          <w:sz w:val="22"/>
          <w:szCs w:val="22"/>
        </w:rPr>
        <w:t xml:space="preserve">HARDWARE </w:t>
      </w:r>
    </w:p>
    <w:p w14:paraId="27C66DDC" w14:textId="77777777" w:rsidR="00733011" w:rsidRDefault="00733011" w:rsidP="00733011">
      <w:pPr>
        <w:pStyle w:val="Default"/>
        <w:rPr>
          <w:b/>
          <w:bCs/>
          <w:color w:val="auto"/>
          <w:sz w:val="22"/>
          <w:szCs w:val="22"/>
        </w:rPr>
      </w:pPr>
    </w:p>
    <w:p w14:paraId="085A4A4F" w14:textId="0CAD2E6B" w:rsidR="00733011" w:rsidRPr="00733011" w:rsidRDefault="00733011" w:rsidP="00733011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R</w:t>
      </w:r>
      <w:r w:rsidRPr="00733011">
        <w:rPr>
          <w:b/>
          <w:bCs/>
          <w:color w:val="auto"/>
          <w:sz w:val="22"/>
          <w:szCs w:val="22"/>
        </w:rPr>
        <w:t xml:space="preserve">ozvaděč a </w:t>
      </w:r>
      <w:proofErr w:type="spellStart"/>
      <w:r w:rsidRPr="00733011">
        <w:rPr>
          <w:b/>
          <w:bCs/>
          <w:color w:val="auto"/>
          <w:sz w:val="22"/>
          <w:szCs w:val="22"/>
        </w:rPr>
        <w:t>gateway</w:t>
      </w:r>
      <w:proofErr w:type="spellEnd"/>
      <w:r w:rsidRPr="00733011">
        <w:rPr>
          <w:b/>
          <w:bCs/>
          <w:color w:val="auto"/>
          <w:sz w:val="22"/>
          <w:szCs w:val="22"/>
        </w:rPr>
        <w:t xml:space="preserve"> s komunikací do úrovně světelného bodu</w:t>
      </w:r>
      <w:r>
        <w:rPr>
          <w:b/>
          <w:bCs/>
          <w:color w:val="auto"/>
          <w:sz w:val="22"/>
          <w:szCs w:val="22"/>
        </w:rPr>
        <w:t>:</w:t>
      </w:r>
    </w:p>
    <w:p w14:paraId="5261C04C" w14:textId="77777777" w:rsidR="00733011" w:rsidRDefault="00733011" w:rsidP="00733011">
      <w:pPr>
        <w:pStyle w:val="Default"/>
        <w:rPr>
          <w:b/>
          <w:bCs/>
          <w:color w:val="auto"/>
          <w:sz w:val="22"/>
          <w:szCs w:val="22"/>
        </w:rPr>
      </w:pPr>
    </w:p>
    <w:p w14:paraId="0AE15BC5" w14:textId="02715F4D" w:rsidR="00733011" w:rsidRPr="00733011" w:rsidRDefault="00733011" w:rsidP="00733011">
      <w:pPr>
        <w:pStyle w:val="Default"/>
        <w:rPr>
          <w:color w:val="auto"/>
          <w:sz w:val="22"/>
          <w:szCs w:val="22"/>
        </w:rPr>
      </w:pPr>
      <w:r w:rsidRPr="00733011">
        <w:rPr>
          <w:b/>
          <w:bCs/>
          <w:color w:val="auto"/>
          <w:sz w:val="22"/>
          <w:szCs w:val="22"/>
        </w:rPr>
        <w:t xml:space="preserve">Provedení </w:t>
      </w:r>
    </w:p>
    <w:p w14:paraId="028A4859" w14:textId="2D2BE6D0" w:rsidR="00733011" w:rsidRP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2"/>
          <w:szCs w:val="22"/>
        </w:rPr>
      </w:pPr>
      <w:r w:rsidRPr="00733011">
        <w:rPr>
          <w:color w:val="auto"/>
          <w:sz w:val="22"/>
          <w:szCs w:val="22"/>
        </w:rPr>
        <w:t xml:space="preserve">Skříň z tvrzeného polyesteru s krytím IP 44 (IP54), IK10 </w:t>
      </w:r>
    </w:p>
    <w:p w14:paraId="0E061F27" w14:textId="08428C83" w:rsidR="00733011" w:rsidRP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2"/>
          <w:szCs w:val="22"/>
        </w:rPr>
      </w:pPr>
      <w:r w:rsidRPr="00733011">
        <w:rPr>
          <w:color w:val="auto"/>
          <w:sz w:val="22"/>
          <w:szCs w:val="22"/>
        </w:rPr>
        <w:t xml:space="preserve">Stěny skříní budou stupně hořlavosti „B-nesnadno hořlavé“ ze samozhášivého materiálu se zvýšenou stabilizací proti povětrnostním vlivům a UV záření. </w:t>
      </w:r>
    </w:p>
    <w:p w14:paraId="1BE5E414" w14:textId="7C1533FC" w:rsidR="00733011" w:rsidRP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2"/>
          <w:szCs w:val="22"/>
        </w:rPr>
      </w:pPr>
      <w:r w:rsidRPr="00733011">
        <w:rPr>
          <w:color w:val="auto"/>
          <w:sz w:val="22"/>
          <w:szCs w:val="22"/>
        </w:rPr>
        <w:t xml:space="preserve">Modulární provedení rozvaděče, umožňující instalaci jako samostatně stojící, na sloup, na sokl nebo do zdiva s variabilním počtem vývodů </w:t>
      </w:r>
    </w:p>
    <w:p w14:paraId="5D6B93A1" w14:textId="547845CE" w:rsidR="00733011" w:rsidRP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2"/>
          <w:szCs w:val="22"/>
        </w:rPr>
      </w:pPr>
      <w:r w:rsidRPr="00733011">
        <w:rPr>
          <w:color w:val="auto"/>
          <w:sz w:val="22"/>
          <w:szCs w:val="22"/>
        </w:rPr>
        <w:t xml:space="preserve">Provedení světlá šedá, s nátěrem </w:t>
      </w:r>
      <w:proofErr w:type="spellStart"/>
      <w:r w:rsidRPr="00733011">
        <w:rPr>
          <w:color w:val="auto"/>
          <w:sz w:val="22"/>
          <w:szCs w:val="22"/>
        </w:rPr>
        <w:t>antivandal</w:t>
      </w:r>
      <w:proofErr w:type="spellEnd"/>
      <w:r w:rsidRPr="00733011">
        <w:rPr>
          <w:color w:val="auto"/>
          <w:sz w:val="22"/>
          <w:szCs w:val="22"/>
        </w:rPr>
        <w:t xml:space="preserve"> - tmavě šedá </w:t>
      </w:r>
    </w:p>
    <w:p w14:paraId="030B6275" w14:textId="251AC209" w:rsidR="00733011" w:rsidRPr="00733011" w:rsidRDefault="00733011" w:rsidP="00733011">
      <w:pPr>
        <w:pStyle w:val="Default"/>
        <w:numPr>
          <w:ilvl w:val="0"/>
          <w:numId w:val="4"/>
        </w:numPr>
        <w:rPr>
          <w:color w:val="auto"/>
          <w:sz w:val="22"/>
          <w:szCs w:val="22"/>
        </w:rPr>
      </w:pPr>
      <w:r w:rsidRPr="00733011">
        <w:rPr>
          <w:color w:val="auto"/>
          <w:sz w:val="22"/>
          <w:szCs w:val="22"/>
        </w:rPr>
        <w:t xml:space="preserve">Všechny části opatřeny meandrovým ventilačním systémem </w:t>
      </w:r>
    </w:p>
    <w:p w14:paraId="6A7D4F64" w14:textId="1D9BAB6F" w:rsidR="001F5380" w:rsidRDefault="001F5380" w:rsidP="004C0DBC"/>
    <w:p w14:paraId="0E03A14B" w14:textId="77777777" w:rsidR="00733011" w:rsidRDefault="00733011" w:rsidP="00733011">
      <w:pPr>
        <w:pStyle w:val="Default"/>
      </w:pPr>
    </w:p>
    <w:p w14:paraId="3C4F74EA" w14:textId="77777777" w:rsidR="00733011" w:rsidRDefault="00733011" w:rsidP="00733011">
      <w:pPr>
        <w:pStyle w:val="Default"/>
        <w:rPr>
          <w:color w:val="auto"/>
        </w:rPr>
      </w:pPr>
    </w:p>
    <w:p w14:paraId="4F451777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color w:val="auto"/>
        </w:rPr>
        <w:t xml:space="preserve"> </w:t>
      </w:r>
      <w:r>
        <w:rPr>
          <w:b/>
          <w:bCs/>
          <w:color w:val="auto"/>
          <w:sz w:val="20"/>
          <w:szCs w:val="20"/>
        </w:rPr>
        <w:t xml:space="preserve">Přívodní část (variantně) </w:t>
      </w:r>
    </w:p>
    <w:p w14:paraId="28A1FDA2" w14:textId="24007DC1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pro připojení kabelu až do 240mm² </w:t>
      </w:r>
    </w:p>
    <w:p w14:paraId="698BFBAD" w14:textId="41E51135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3x pojistkové spodky PN1 </w:t>
      </w:r>
    </w:p>
    <w:p w14:paraId="3A431528" w14:textId="0BD1EBA9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AL pas 30x5mm PEN </w:t>
      </w:r>
    </w:p>
    <w:p w14:paraId="3A8F7C4B" w14:textId="0F4A57DD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dle standardu distribuční společnosti </w:t>
      </w:r>
    </w:p>
    <w:p w14:paraId="2DA01E24" w14:textId="321965DE" w:rsidR="00733011" w:rsidRDefault="00733011" w:rsidP="00733011">
      <w:pPr>
        <w:pStyle w:val="Default"/>
        <w:numPr>
          <w:ilvl w:val="0"/>
          <w:numId w:val="4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zámek standardu distribuční společnosti/požadavků zákazníka </w:t>
      </w:r>
    </w:p>
    <w:p w14:paraId="72B11D32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0FBA0A5E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Elektroměrová část </w:t>
      </w:r>
    </w:p>
    <w:p w14:paraId="6F2C6DB8" w14:textId="5F206F42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pro připojení kabelu až do 150mm² (variantně) </w:t>
      </w:r>
    </w:p>
    <w:p w14:paraId="167A272E" w14:textId="7A59171B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3F hlavní jistič </w:t>
      </w:r>
    </w:p>
    <w:p w14:paraId="673DC296" w14:textId="46D868BC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pomocný kontakt hlavního jističe pro kontrolu jeho stavu </w:t>
      </w:r>
    </w:p>
    <w:p w14:paraId="475EDB25" w14:textId="7736CCEF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Příprava pro montáž elektroměru </w:t>
      </w:r>
    </w:p>
    <w:p w14:paraId="1D09EE70" w14:textId="0C60E876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dle standardu distribuční společnosti </w:t>
      </w:r>
    </w:p>
    <w:p w14:paraId="210D09EB" w14:textId="7CC29F40" w:rsidR="00733011" w:rsidRDefault="00733011" w:rsidP="00733011">
      <w:pPr>
        <w:pStyle w:val="Default"/>
        <w:numPr>
          <w:ilvl w:val="0"/>
          <w:numId w:val="4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zámek standardu distribuční společnosti/požadavků zákazníka </w:t>
      </w:r>
    </w:p>
    <w:p w14:paraId="0C423DF0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644ED130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Ovládací část </w:t>
      </w:r>
    </w:p>
    <w:p w14:paraId="3EBC16B3" w14:textId="1DF63ACE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Elektroměr s komunikačním modulem RS485/MODBUS </w:t>
      </w:r>
    </w:p>
    <w:p w14:paraId="50BF98F5" w14:textId="0A3AA298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Dveřní kontakt s kontrolou jeho stavu </w:t>
      </w:r>
    </w:p>
    <w:p w14:paraId="615BD73A" w14:textId="067C45B6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Svítidlo LED spínané dveřním kontaktem (volitelně) </w:t>
      </w:r>
    </w:p>
    <w:p w14:paraId="1B5CBF50" w14:textId="688B1C33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Jištěný ovládací obvod (napájení cívky hlavního stykače) 6A/B </w:t>
      </w:r>
    </w:p>
    <w:p w14:paraId="50242179" w14:textId="3BC5BC80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Jištěný napájecí obvod (napájení řídícího modulu) 6A/B </w:t>
      </w:r>
    </w:p>
    <w:p w14:paraId="15250EC1" w14:textId="2BDD4A86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Jištěný zásuvkový obvod (zásuvka 230VAC), chránič 16A/B </w:t>
      </w:r>
    </w:p>
    <w:p w14:paraId="49B3B5E3" w14:textId="6380D038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Jištěný světelný obvod 1A/B </w:t>
      </w:r>
    </w:p>
    <w:p w14:paraId="0E55B303" w14:textId="5FC0D081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Záložní astronomické spínací hodiny </w:t>
      </w:r>
    </w:p>
    <w:p w14:paraId="08C14300" w14:textId="030BCEBE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Spínače místního ovládání (v počtu dle stykačů + volba automatiky) </w:t>
      </w:r>
    </w:p>
    <w:p w14:paraId="7934005B" w14:textId="7706F562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Řídící jednotka </w:t>
      </w:r>
    </w:p>
    <w:p w14:paraId="5AFEAD73" w14:textId="6100B0CE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AC/DC zdroj napájení </w:t>
      </w:r>
    </w:p>
    <w:p w14:paraId="7751017F" w14:textId="728BB782" w:rsidR="00733011" w:rsidRDefault="00733011" w:rsidP="00733011">
      <w:pPr>
        <w:pStyle w:val="Default"/>
        <w:numPr>
          <w:ilvl w:val="0"/>
          <w:numId w:val="4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Záložní zdroj napájen </w:t>
      </w:r>
    </w:p>
    <w:p w14:paraId="79B3547A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6FBCC986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Spínací a vývodová část </w:t>
      </w:r>
    </w:p>
    <w:p w14:paraId="388C079A" w14:textId="787A5287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Svodič přepětí B+C s kontaktem pro vyhodnocování stavu (volitelně) </w:t>
      </w:r>
    </w:p>
    <w:p w14:paraId="6F0C6467" w14:textId="07BCFFEE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Dveřní kontakt s kontrolou jeho stavu (volitelně) </w:t>
      </w:r>
    </w:p>
    <w:p w14:paraId="4974ABDE" w14:textId="78B2FCBD" w:rsidR="00733011" w:rsidRDefault="00733011" w:rsidP="00733011">
      <w:pPr>
        <w:pStyle w:val="Default"/>
        <w:numPr>
          <w:ilvl w:val="0"/>
          <w:numId w:val="4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Svítidlo LED spínané dveřním kontaktem (volitelně) </w:t>
      </w:r>
    </w:p>
    <w:p w14:paraId="27E0B8E8" w14:textId="0596D01B" w:rsidR="00733011" w:rsidRPr="00733011" w:rsidRDefault="00733011" w:rsidP="00733011">
      <w:pPr>
        <w:pStyle w:val="Default"/>
        <w:numPr>
          <w:ilvl w:val="0"/>
          <w:numId w:val="4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Alespoň 2 spínací prvky s postupným spínáním pro eliminaci náběhových proudů </w:t>
      </w:r>
    </w:p>
    <w:p w14:paraId="73225945" w14:textId="77777777" w:rsidR="00733011" w:rsidRDefault="00733011" w:rsidP="00733011">
      <w:pPr>
        <w:pStyle w:val="Default"/>
        <w:numPr>
          <w:ilvl w:val="0"/>
          <w:numId w:val="25"/>
        </w:numPr>
        <w:spacing w:after="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Pojistkové odpojovače OPV10A (volitelně jiný druh jištění) </w:t>
      </w:r>
    </w:p>
    <w:p w14:paraId="07C7A6BA" w14:textId="05BA4F97" w:rsidR="00733011" w:rsidRDefault="00733011" w:rsidP="00733011">
      <w:pPr>
        <w:pStyle w:val="Default"/>
        <w:numPr>
          <w:ilvl w:val="0"/>
          <w:numId w:val="25"/>
        </w:numPr>
        <w:spacing w:after="7"/>
        <w:rPr>
          <w:color w:val="auto"/>
          <w:sz w:val="13"/>
          <w:szCs w:val="13"/>
        </w:rPr>
      </w:pPr>
      <w:r>
        <w:rPr>
          <w:color w:val="auto"/>
          <w:sz w:val="20"/>
          <w:szCs w:val="20"/>
        </w:rPr>
        <w:t xml:space="preserve">řadové svornice RSA 35 A pro rozsah upínaných vodičů Al, </w:t>
      </w:r>
      <w:proofErr w:type="spellStart"/>
      <w:r>
        <w:rPr>
          <w:color w:val="auto"/>
          <w:sz w:val="20"/>
          <w:szCs w:val="20"/>
        </w:rPr>
        <w:t>Cu</w:t>
      </w:r>
      <w:proofErr w:type="spellEnd"/>
      <w:r>
        <w:rPr>
          <w:color w:val="auto"/>
          <w:sz w:val="20"/>
          <w:szCs w:val="20"/>
        </w:rPr>
        <w:t xml:space="preserve"> 2,5-35mm</w:t>
      </w:r>
      <w:r>
        <w:rPr>
          <w:color w:val="auto"/>
          <w:sz w:val="13"/>
          <w:szCs w:val="13"/>
        </w:rPr>
        <w:t xml:space="preserve">2 </w:t>
      </w:r>
    </w:p>
    <w:p w14:paraId="1153EE63" w14:textId="578BF4AC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AL pas 30x5mm PEN </w:t>
      </w:r>
    </w:p>
    <w:p w14:paraId="780C80EF" w14:textId="667CEEAE" w:rsidR="00733011" w:rsidRDefault="00733011" w:rsidP="004C0DBC"/>
    <w:p w14:paraId="5CB22320" w14:textId="77777777" w:rsidR="00733011" w:rsidRDefault="00733011" w:rsidP="00733011">
      <w:pPr>
        <w:pStyle w:val="Default"/>
      </w:pPr>
    </w:p>
    <w:p w14:paraId="38FA726B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Řízení a monitorování </w:t>
      </w:r>
    </w:p>
    <w:p w14:paraId="7B044D02" w14:textId="3B44D6AA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Lokální odečet měřených hodnot </w:t>
      </w:r>
    </w:p>
    <w:p w14:paraId="6F0B3345" w14:textId="5AEC0C5A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Spínání rozvaděče na základě astronomického spínacího kalendáře (implementovaném v řídícím modulu), dálkového povelu, signálu fotobuňky nebo iniciace vstupu </w:t>
      </w:r>
    </w:p>
    <w:p w14:paraId="1BBACD7D" w14:textId="2CA2B54F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Automatický restart a aktualizace reálného času </w:t>
      </w:r>
    </w:p>
    <w:p w14:paraId="6869EBC8" w14:textId="79125EA7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Připojení libovolného zařízení protokolem MODBUS </w:t>
      </w:r>
    </w:p>
    <w:p w14:paraId="42873A69" w14:textId="50C62D65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 xml:space="preserve">Lokální připojení pomocí USB </w:t>
      </w:r>
    </w:p>
    <w:p w14:paraId="58D8B76B" w14:textId="5DC857ED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Integrované rozhraní pro síť </w:t>
      </w:r>
      <w:proofErr w:type="spellStart"/>
      <w:r>
        <w:rPr>
          <w:color w:val="auto"/>
          <w:sz w:val="20"/>
          <w:szCs w:val="20"/>
        </w:rPr>
        <w:t>IoT</w:t>
      </w:r>
      <w:proofErr w:type="spellEnd"/>
      <w:r>
        <w:rPr>
          <w:color w:val="auto"/>
          <w:sz w:val="20"/>
          <w:szCs w:val="20"/>
        </w:rPr>
        <w:t xml:space="preserve">/MESH </w:t>
      </w:r>
    </w:p>
    <w:p w14:paraId="0D016595" w14:textId="69E20FF0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Vyhodnocování stavů a alarmů, hraniční automatizace, odesílání vyhodnocených anebo surových dat na server </w:t>
      </w:r>
    </w:p>
    <w:p w14:paraId="09A2B337" w14:textId="208A5929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Automatizace pracující na základě zadaných algoritmů s jednotlivými anebo skupinami či všemi světelnými či reléovými body na základě vnitřních údajů, získaných údajů, binárních vstupů atd. </w:t>
      </w:r>
    </w:p>
    <w:p w14:paraId="41C1ED4B" w14:textId="768B2DBE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Jednotlivé záznamy prováděny s časovou značkou </w:t>
      </w:r>
    </w:p>
    <w:p w14:paraId="47B92572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24DE6008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Rozsah monitoringu </w:t>
      </w:r>
    </w:p>
    <w:p w14:paraId="0216CFAD" w14:textId="346458B1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Spínání rozvaděče na základě astronomického spínacího kalendáře (implementovaném v řídícím modulu), dálkového povelu, signálu fotobuňky nebo iniciace vstupu </w:t>
      </w:r>
    </w:p>
    <w:p w14:paraId="4029DF3D" w14:textId="08AB3EAB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Blokování RVO na základě dálkového povelu </w:t>
      </w:r>
    </w:p>
    <w:p w14:paraId="2165F444" w14:textId="2C8FDAB9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Nahození hlavního jističe (volitelně) </w:t>
      </w:r>
    </w:p>
    <w:p w14:paraId="5F589BA9" w14:textId="25C6B251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stavem hlavního jističe </w:t>
      </w:r>
    </w:p>
    <w:p w14:paraId="65587CC2" w14:textId="52B38F5D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stavem dveřního kontaktu </w:t>
      </w:r>
    </w:p>
    <w:p w14:paraId="0EB6FA91" w14:textId="4D8FB6A1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napájecím napětím a jeho hodnotou </w:t>
      </w:r>
    </w:p>
    <w:p w14:paraId="1CB74938" w14:textId="1D5E2225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stavem hlavního stykače v závislosti na provozním stavu </w:t>
      </w:r>
    </w:p>
    <w:p w14:paraId="3E80BA31" w14:textId="3F50AF3F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Hlášení stavů a ovládání pomocí SMS/GPRS </w:t>
      </w:r>
    </w:p>
    <w:p w14:paraId="6B73C343" w14:textId="155FDA82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Ovládání podřízených prvků sítě do úrovně světelného bodu </w:t>
      </w:r>
    </w:p>
    <w:p w14:paraId="5316DCE5" w14:textId="194E5FCE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Evidence a hlášení poruch do úrovně světelného bodu </w:t>
      </w:r>
    </w:p>
    <w:p w14:paraId="2F252B43" w14:textId="6EBE2C9D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Měření hodnot napětí, proudu, účiníku, příkonu s hlášením překročení maxima a minima </w:t>
      </w:r>
    </w:p>
    <w:p w14:paraId="3FF97CA9" w14:textId="10C26784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Odečet stavu elektroměru </w:t>
      </w:r>
    </w:p>
    <w:p w14:paraId="613038A2" w14:textId="0D09FCC3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stavem napětí záložního zdroje a zdroje DC napětí </w:t>
      </w:r>
    </w:p>
    <w:p w14:paraId="11F98582" w14:textId="53327518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Řízení do úrovně jednotlivého světelného bodu (dále SB) s možností vytvoření až 8 regulačních křivek s 10-ti stupni regulace </w:t>
      </w:r>
    </w:p>
    <w:p w14:paraId="2C8379DC" w14:textId="51C2F2A8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Adaptivní a dynamická regulace každé skupiny v závislosti na sledovaných veličinách </w:t>
      </w:r>
    </w:p>
    <w:p w14:paraId="4AE6B826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103371BC" w14:textId="2A58AF1E" w:rsidR="00733011" w:rsidRDefault="00733011" w:rsidP="00733011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(VO NOD) logický automat s technologií JAVA </w:t>
      </w:r>
    </w:p>
    <w:p w14:paraId="209EEA4D" w14:textId="2F1B5184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Komunikační rozhraní GSM/GPRS, ISM, RS232, RS485, USB </w:t>
      </w:r>
    </w:p>
    <w:p w14:paraId="0B8F5DDF" w14:textId="4612FF5B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8x galvanicky oddělený binární vstup (12VDC/24VDC/230VAC) </w:t>
      </w:r>
    </w:p>
    <w:p w14:paraId="1610FBF2" w14:textId="61DB2E0F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8x spínací reléový výstup 250VAC/5A </w:t>
      </w:r>
    </w:p>
    <w:p w14:paraId="249E34C7" w14:textId="3082D3C9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3x 8LED pro indikaci stavu zařízení </w:t>
      </w:r>
    </w:p>
    <w:p w14:paraId="645B832B" w14:textId="260393CC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rozhraní pro </w:t>
      </w:r>
      <w:proofErr w:type="gramStart"/>
      <w:r>
        <w:rPr>
          <w:color w:val="auto"/>
          <w:sz w:val="20"/>
          <w:szCs w:val="20"/>
        </w:rPr>
        <w:t>podřízenou</w:t>
      </w:r>
      <w:proofErr w:type="gramEnd"/>
      <w:r>
        <w:rPr>
          <w:color w:val="auto"/>
          <w:sz w:val="20"/>
          <w:szCs w:val="20"/>
        </w:rPr>
        <w:t xml:space="preserve"> MESH síť pracující v pásmu ISM 868MHz </w:t>
      </w:r>
    </w:p>
    <w:p w14:paraId="25C3F066" w14:textId="7249C16A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neproprietární vývojové prostředí nezatížené licenčními poplatky (JAVA, C, C++) </w:t>
      </w:r>
    </w:p>
    <w:p w14:paraId="68EA427B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3GPP </w:t>
      </w:r>
      <w:proofErr w:type="gramStart"/>
      <w:r>
        <w:rPr>
          <w:color w:val="auto"/>
          <w:sz w:val="20"/>
          <w:szCs w:val="20"/>
        </w:rPr>
        <w:t xml:space="preserve">Rel.7 </w:t>
      </w:r>
      <w:proofErr w:type="spellStart"/>
      <w:r>
        <w:rPr>
          <w:color w:val="auto"/>
          <w:sz w:val="20"/>
          <w:szCs w:val="20"/>
        </w:rPr>
        <w:t>Compliant</w:t>
      </w:r>
      <w:proofErr w:type="spellEnd"/>
      <w:proofErr w:type="gramEnd"/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Protocol</w:t>
      </w:r>
      <w:proofErr w:type="spellEnd"/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Stack</w:t>
      </w:r>
      <w:proofErr w:type="spellEnd"/>
      <w:r>
        <w:rPr>
          <w:color w:val="auto"/>
          <w:sz w:val="20"/>
          <w:szCs w:val="20"/>
        </w:rPr>
        <w:t xml:space="preserve"> </w:t>
      </w:r>
    </w:p>
    <w:p w14:paraId="7E05692F" w14:textId="77777777" w:rsidR="00733011" w:rsidRDefault="00733011" w:rsidP="00733011">
      <w:pPr>
        <w:pStyle w:val="Default"/>
        <w:spacing w:after="15"/>
        <w:ind w:left="708"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proofErr w:type="spellStart"/>
      <w:r>
        <w:rPr>
          <w:color w:val="auto"/>
          <w:sz w:val="20"/>
          <w:szCs w:val="20"/>
        </w:rPr>
        <w:t>Dual</w:t>
      </w:r>
      <w:proofErr w:type="spellEnd"/>
      <w:r>
        <w:rPr>
          <w:color w:val="auto"/>
          <w:sz w:val="20"/>
          <w:szCs w:val="20"/>
        </w:rPr>
        <w:t xml:space="preserve">-Band UMTS (WCDMA / FDD) </w:t>
      </w:r>
    </w:p>
    <w:p w14:paraId="30A11D9F" w14:textId="77777777" w:rsidR="00733011" w:rsidRDefault="00733011" w:rsidP="00733011">
      <w:pPr>
        <w:pStyle w:val="Default"/>
        <w:spacing w:after="15"/>
        <w:ind w:left="708"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proofErr w:type="spellStart"/>
      <w:r>
        <w:rPr>
          <w:color w:val="auto"/>
          <w:sz w:val="20"/>
          <w:szCs w:val="20"/>
        </w:rPr>
        <w:t>Dual</w:t>
      </w:r>
      <w:proofErr w:type="spellEnd"/>
      <w:r>
        <w:rPr>
          <w:color w:val="auto"/>
          <w:sz w:val="20"/>
          <w:szCs w:val="20"/>
        </w:rPr>
        <w:t xml:space="preserve">-Band GSM </w:t>
      </w:r>
    </w:p>
    <w:p w14:paraId="2FFA25D1" w14:textId="77777777" w:rsidR="00733011" w:rsidRDefault="00733011" w:rsidP="00733011">
      <w:pPr>
        <w:pStyle w:val="Default"/>
        <w:ind w:left="708"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Aplikační sada SIM, třída 3 </w:t>
      </w:r>
    </w:p>
    <w:p w14:paraId="654B0E88" w14:textId="715CCA5B" w:rsidR="00733011" w:rsidRDefault="00733011" w:rsidP="00733011">
      <w:pPr>
        <w:pStyle w:val="Default"/>
        <w:ind w:left="1416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>Ovládání prostřednictvím standardizovaných a rozšířených AT příkazy (</w:t>
      </w:r>
      <w:proofErr w:type="spellStart"/>
      <w:r>
        <w:rPr>
          <w:color w:val="auto"/>
          <w:sz w:val="20"/>
          <w:szCs w:val="20"/>
        </w:rPr>
        <w:t>Hayes</w:t>
      </w:r>
      <w:proofErr w:type="spellEnd"/>
      <w:r>
        <w:rPr>
          <w:color w:val="auto"/>
          <w:sz w:val="20"/>
          <w:szCs w:val="20"/>
        </w:rPr>
        <w:t xml:space="preserve">, TS 27.007 a 27.005) </w:t>
      </w:r>
    </w:p>
    <w:p w14:paraId="0B795AB1" w14:textId="77777777" w:rsidR="00733011" w:rsidRDefault="00733011" w:rsidP="00733011">
      <w:pPr>
        <w:pStyle w:val="Default"/>
        <w:spacing w:after="13"/>
        <w:ind w:left="708"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Přístup zásobníku TCP / IP přes příkaz AT a transparentní služby TCP </w:t>
      </w:r>
    </w:p>
    <w:p w14:paraId="4998DF43" w14:textId="77777777" w:rsidR="00733011" w:rsidRDefault="00733011" w:rsidP="00733011">
      <w:pPr>
        <w:pStyle w:val="Default"/>
        <w:spacing w:after="13"/>
        <w:ind w:left="708"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Zabezpečené připojení pro klientské IP služby </w:t>
      </w:r>
    </w:p>
    <w:p w14:paraId="08B9F891" w14:textId="77777777" w:rsidR="00733011" w:rsidRDefault="00733011" w:rsidP="00733011">
      <w:pPr>
        <w:pStyle w:val="Default"/>
        <w:spacing w:after="13"/>
        <w:ind w:left="708"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Internetové služby TCP / UDP server / klient, DNS, Ping, FTP klient, HTTP klient </w:t>
      </w:r>
    </w:p>
    <w:p w14:paraId="61818361" w14:textId="77777777" w:rsidR="00733011" w:rsidRDefault="00733011" w:rsidP="00733011">
      <w:pPr>
        <w:pStyle w:val="Default"/>
        <w:spacing w:after="13"/>
        <w:ind w:left="708" w:firstLine="708"/>
        <w:rPr>
          <w:color w:val="auto"/>
          <w:sz w:val="20"/>
          <w:szCs w:val="20"/>
        </w:rPr>
      </w:pPr>
      <w:proofErr w:type="gramStart"/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>SPI</w:t>
      </w:r>
      <w:proofErr w:type="gramEnd"/>
      <w:r>
        <w:rPr>
          <w:color w:val="auto"/>
          <w:sz w:val="20"/>
          <w:szCs w:val="20"/>
        </w:rPr>
        <w:t xml:space="preserve"> rozhraní pro zařízení </w:t>
      </w:r>
      <w:proofErr w:type="spellStart"/>
      <w:r>
        <w:rPr>
          <w:color w:val="auto"/>
          <w:sz w:val="20"/>
          <w:szCs w:val="20"/>
        </w:rPr>
        <w:t>IoT</w:t>
      </w:r>
      <w:proofErr w:type="spellEnd"/>
      <w:r>
        <w:rPr>
          <w:color w:val="auto"/>
          <w:sz w:val="20"/>
          <w:szCs w:val="20"/>
        </w:rPr>
        <w:t xml:space="preserve"> v pásmu 868MHz </w:t>
      </w:r>
    </w:p>
    <w:p w14:paraId="4099FCA0" w14:textId="77777777" w:rsidR="00733011" w:rsidRDefault="00733011" w:rsidP="00733011">
      <w:pPr>
        <w:pStyle w:val="Default"/>
        <w:spacing w:after="13"/>
        <w:ind w:left="708" w:firstLine="708"/>
        <w:rPr>
          <w:color w:val="auto"/>
          <w:sz w:val="20"/>
          <w:szCs w:val="20"/>
        </w:rPr>
      </w:pPr>
      <w:proofErr w:type="gramStart"/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>Zabezpečeno</w:t>
      </w:r>
      <w:proofErr w:type="gramEnd"/>
      <w:r>
        <w:rPr>
          <w:color w:val="auto"/>
          <w:sz w:val="20"/>
          <w:szCs w:val="20"/>
        </w:rPr>
        <w:t xml:space="preserve"> sdíleným klíčem AES128 do úrovně koncového zařízení </w:t>
      </w:r>
    </w:p>
    <w:p w14:paraId="6E7D5E8A" w14:textId="77777777" w:rsidR="00733011" w:rsidRDefault="00733011" w:rsidP="00733011">
      <w:pPr>
        <w:pStyle w:val="Default"/>
        <w:ind w:left="708"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FOTA, OTAP </w:t>
      </w:r>
    </w:p>
    <w:p w14:paraId="5AA0BADC" w14:textId="60EA8848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207B2061" w14:textId="104E8A46" w:rsidR="00C4067C" w:rsidRDefault="00C4067C" w:rsidP="00733011">
      <w:pPr>
        <w:pStyle w:val="Default"/>
      </w:pPr>
      <w:r>
        <w:rPr>
          <w:noProof/>
          <w:lang w:eastAsia="cs-CZ"/>
        </w:rPr>
        <w:lastRenderedPageBreak/>
        <w:drawing>
          <wp:inline distT="0" distB="0" distL="0" distR="0" wp14:anchorId="03B1B0E0" wp14:editId="60CD766C">
            <wp:extent cx="1847198" cy="1889760"/>
            <wp:effectExtent l="0" t="0" r="1270" b="0"/>
            <wp:docPr id="2" name="Obrázek 2" descr="ETERNA NPCH PHOTOCELL NEMA SOCKET [1] (Epitome Certified): Amazon.co.uk:  DIY &amp;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ERNA NPCH PHOTOCELL NEMA SOCKET [1] (Epitome Certified): Amazon.co.uk:  DIY &amp; Too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86" cy="18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67C">
        <w:t xml:space="preserve"> </w:t>
      </w:r>
      <w:r>
        <w:rPr>
          <w:noProof/>
          <w:lang w:eastAsia="cs-CZ"/>
        </w:rPr>
        <w:drawing>
          <wp:inline distT="0" distB="0" distL="0" distR="0" wp14:anchorId="28058DE7" wp14:editId="54991885">
            <wp:extent cx="1760220" cy="2644173"/>
            <wp:effectExtent l="0" t="0" r="0" b="3810"/>
            <wp:docPr id="4" name="Obrázek 4" descr="Design future proof enterprise IoT devices - Paradox 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 future proof enterprise IoT devices - Paradox Engineer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88" cy="266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5EBF" w14:textId="77777777" w:rsidR="00C4067C" w:rsidRDefault="00C4067C" w:rsidP="00733011">
      <w:pPr>
        <w:pStyle w:val="Default"/>
        <w:rPr>
          <w:color w:val="auto"/>
          <w:sz w:val="20"/>
          <w:szCs w:val="20"/>
        </w:rPr>
      </w:pPr>
    </w:p>
    <w:p w14:paraId="08FE4FDF" w14:textId="70FD1485" w:rsidR="00C4067C" w:rsidRPr="00C4067C" w:rsidRDefault="00C4067C" w:rsidP="00C4067C">
      <w:pPr>
        <w:rPr>
          <w:i/>
          <w:iCs/>
        </w:rPr>
      </w:pPr>
      <w:proofErr w:type="gramStart"/>
      <w:r w:rsidRPr="00C4067C">
        <w:rPr>
          <w:i/>
          <w:iCs/>
        </w:rPr>
        <w:t>Obr.</w:t>
      </w:r>
      <w:r>
        <w:rPr>
          <w:i/>
          <w:iCs/>
        </w:rPr>
        <w:t>1</w:t>
      </w:r>
      <w:r w:rsidRPr="00C4067C">
        <w:rPr>
          <w:i/>
          <w:iCs/>
        </w:rPr>
        <w:t>:</w:t>
      </w:r>
      <w:proofErr w:type="gramEnd"/>
      <w:r w:rsidRPr="00C4067C">
        <w:rPr>
          <w:i/>
          <w:iCs/>
        </w:rPr>
        <w:t xml:space="preserve"> Příklad</w:t>
      </w:r>
      <w:r>
        <w:rPr>
          <w:i/>
          <w:iCs/>
        </w:rPr>
        <w:t>y</w:t>
      </w:r>
      <w:r w:rsidRPr="00C4067C">
        <w:rPr>
          <w:i/>
          <w:iCs/>
        </w:rPr>
        <w:t xml:space="preserve"> </w:t>
      </w:r>
      <w:r>
        <w:rPr>
          <w:i/>
          <w:iCs/>
        </w:rPr>
        <w:t xml:space="preserve">provedení komunikačního modulu (VO </w:t>
      </w:r>
      <w:proofErr w:type="spellStart"/>
      <w:r>
        <w:rPr>
          <w:i/>
          <w:iCs/>
        </w:rPr>
        <w:t>NODu</w:t>
      </w:r>
      <w:proofErr w:type="spellEnd"/>
      <w:r>
        <w:rPr>
          <w:i/>
          <w:iCs/>
        </w:rPr>
        <w:t>)</w:t>
      </w:r>
    </w:p>
    <w:p w14:paraId="475DBD59" w14:textId="77777777" w:rsidR="00C4067C" w:rsidRDefault="00C4067C" w:rsidP="00733011">
      <w:pPr>
        <w:pStyle w:val="Default"/>
        <w:rPr>
          <w:color w:val="auto"/>
          <w:sz w:val="20"/>
          <w:szCs w:val="20"/>
        </w:rPr>
      </w:pPr>
    </w:p>
    <w:p w14:paraId="632D64F5" w14:textId="77777777" w:rsidR="00733011" w:rsidRDefault="00733011" w:rsidP="00733011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Statický elektroměr s komunikací po RS485 </w:t>
      </w:r>
    </w:p>
    <w:p w14:paraId="5F86FF71" w14:textId="77777777" w:rsidR="00733011" w:rsidRDefault="00733011" w:rsidP="00733011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LED svítidla pro VO s modulem IRC – společné funkce </w:t>
      </w:r>
    </w:p>
    <w:p w14:paraId="5902763B" w14:textId="148E80DE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Spínání s vypínání svítidla, jeho regulace </w:t>
      </w:r>
    </w:p>
    <w:p w14:paraId="4E7E89A7" w14:textId="39F27BB9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Stmívání s volitelnou intenzitou na základě pevného časového plánu, samoučícího režimu anebo vnějšího povelu </w:t>
      </w:r>
    </w:p>
    <w:p w14:paraId="6773ABCD" w14:textId="26812F17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Dynamická regulace </w:t>
      </w:r>
    </w:p>
    <w:p w14:paraId="5B92B309" w14:textId="44F858C0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Biodynamická regulace </w:t>
      </w:r>
    </w:p>
    <w:p w14:paraId="25EB38C3" w14:textId="4994AEC9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Až 239 ovládaných svítidel pro jeden řídící modul (VO NOD) </w:t>
      </w:r>
    </w:p>
    <w:p w14:paraId="4BED582C" w14:textId="4FC5A289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Rozsáhlá indikace provozních a poruchových stavů </w:t>
      </w:r>
    </w:p>
    <w:p w14:paraId="6B5C66D3" w14:textId="6BF93623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Vnitřní sběrnice pro připojení volitelných modulů </w:t>
      </w:r>
    </w:p>
    <w:p w14:paraId="52E19A7F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proofErr w:type="spellStart"/>
      <w:r>
        <w:rPr>
          <w:color w:val="auto"/>
          <w:sz w:val="20"/>
          <w:szCs w:val="20"/>
        </w:rPr>
        <w:t>Bluetooth</w:t>
      </w:r>
      <w:proofErr w:type="spellEnd"/>
      <w:r>
        <w:rPr>
          <w:color w:val="auto"/>
          <w:sz w:val="20"/>
          <w:szCs w:val="20"/>
        </w:rPr>
        <w:t xml:space="preserve"> </w:t>
      </w:r>
    </w:p>
    <w:p w14:paraId="33F0DF11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GPS/GNSS </w:t>
      </w:r>
    </w:p>
    <w:p w14:paraId="3AAA5C5A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Senzor osvětlení </w:t>
      </w:r>
    </w:p>
    <w:p w14:paraId="34A5C5FB" w14:textId="77777777" w:rsidR="00733011" w:rsidRDefault="00733011" w:rsidP="00733011">
      <w:pPr>
        <w:pStyle w:val="Default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Další… </w:t>
      </w:r>
    </w:p>
    <w:p w14:paraId="56A90D7E" w14:textId="5909F075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Možnost získávání provozních dat </w:t>
      </w:r>
    </w:p>
    <w:p w14:paraId="2E77766A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proud (sec) </w:t>
      </w:r>
    </w:p>
    <w:p w14:paraId="3806799B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napětí (sec) </w:t>
      </w:r>
    </w:p>
    <w:p w14:paraId="6B73F284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proofErr w:type="gramStart"/>
      <w:r>
        <w:rPr>
          <w:color w:val="auto"/>
          <w:sz w:val="20"/>
          <w:szCs w:val="20"/>
        </w:rPr>
        <w:t>spotřeba</w:t>
      </w:r>
      <w:proofErr w:type="gramEnd"/>
      <w:r>
        <w:rPr>
          <w:color w:val="auto"/>
          <w:sz w:val="20"/>
          <w:szCs w:val="20"/>
        </w:rPr>
        <w:t xml:space="preserve"> (</w:t>
      </w:r>
      <w:proofErr w:type="spellStart"/>
      <w:r>
        <w:rPr>
          <w:color w:val="auto"/>
          <w:sz w:val="20"/>
          <w:szCs w:val="20"/>
        </w:rPr>
        <w:t>pri</w:t>
      </w:r>
      <w:proofErr w:type="spellEnd"/>
      <w:r>
        <w:rPr>
          <w:color w:val="auto"/>
          <w:sz w:val="20"/>
          <w:szCs w:val="20"/>
        </w:rPr>
        <w:t xml:space="preserve">) </w:t>
      </w:r>
    </w:p>
    <w:p w14:paraId="5A2BAF88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provozní doba </w:t>
      </w:r>
    </w:p>
    <w:p w14:paraId="58F9DEBA" w14:textId="77777777" w:rsidR="00733011" w:rsidRDefault="00733011" w:rsidP="00733011">
      <w:pPr>
        <w:pStyle w:val="Default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proofErr w:type="gramStart"/>
      <w:r>
        <w:rPr>
          <w:color w:val="auto"/>
          <w:sz w:val="20"/>
          <w:szCs w:val="20"/>
        </w:rPr>
        <w:t>teplota</w:t>
      </w:r>
      <w:proofErr w:type="gramEnd"/>
      <w:r>
        <w:rPr>
          <w:color w:val="auto"/>
          <w:sz w:val="20"/>
          <w:szCs w:val="20"/>
        </w:rPr>
        <w:t xml:space="preserve"> svítidla (pokud je použitý NTC) </w:t>
      </w:r>
    </w:p>
    <w:p w14:paraId="04E27C1C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7FBFFF48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Modul IRC5 </w:t>
      </w:r>
    </w:p>
    <w:p w14:paraId="03B16771" w14:textId="2274EE61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Patice ZHAGA 18 </w:t>
      </w:r>
    </w:p>
    <w:p w14:paraId="47DA1E4F" w14:textId="7AE9CE36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RF komunikace </w:t>
      </w:r>
    </w:p>
    <w:p w14:paraId="15C9A8C0" w14:textId="77777777" w:rsidR="00733011" w:rsidRDefault="00733011" w:rsidP="00733011">
      <w:pPr>
        <w:pStyle w:val="Default"/>
        <w:spacing w:after="13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868MHZ </w:t>
      </w:r>
      <w:proofErr w:type="spellStart"/>
      <w:r>
        <w:rPr>
          <w:color w:val="auto"/>
          <w:sz w:val="20"/>
          <w:szCs w:val="20"/>
        </w:rPr>
        <w:t>self-healing</w:t>
      </w:r>
      <w:proofErr w:type="spellEnd"/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mesh</w:t>
      </w:r>
      <w:proofErr w:type="spellEnd"/>
      <w:r>
        <w:rPr>
          <w:color w:val="auto"/>
          <w:sz w:val="20"/>
          <w:szCs w:val="20"/>
        </w:rPr>
        <w:t xml:space="preserve"> síť (CEPT/ERC/REC 70-03) </w:t>
      </w:r>
    </w:p>
    <w:p w14:paraId="745B7E60" w14:textId="77777777" w:rsidR="00733011" w:rsidRDefault="00733011" w:rsidP="00733011">
      <w:pPr>
        <w:pStyle w:val="Default"/>
        <w:spacing w:after="13"/>
        <w:ind w:left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proofErr w:type="spellStart"/>
      <w:r>
        <w:rPr>
          <w:color w:val="auto"/>
          <w:sz w:val="20"/>
          <w:szCs w:val="20"/>
        </w:rPr>
        <w:t>LoRaWAN</w:t>
      </w:r>
      <w:proofErr w:type="spellEnd"/>
      <w:r>
        <w:rPr>
          <w:color w:val="auto"/>
          <w:sz w:val="20"/>
          <w:szCs w:val="20"/>
        </w:rPr>
        <w:t xml:space="preserve"> - 868Mhz </w:t>
      </w:r>
      <w:proofErr w:type="spellStart"/>
      <w:r>
        <w:rPr>
          <w:color w:val="auto"/>
          <w:sz w:val="20"/>
          <w:szCs w:val="20"/>
        </w:rPr>
        <w:t>Class</w:t>
      </w:r>
      <w:proofErr w:type="spellEnd"/>
      <w:r>
        <w:rPr>
          <w:color w:val="auto"/>
          <w:sz w:val="20"/>
          <w:szCs w:val="20"/>
        </w:rPr>
        <w:t xml:space="preserve"> C </w:t>
      </w:r>
    </w:p>
    <w:p w14:paraId="750C24A7" w14:textId="77777777" w:rsidR="00733011" w:rsidRDefault="00733011" w:rsidP="00733011">
      <w:pPr>
        <w:pStyle w:val="Default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NB-IOT </w:t>
      </w:r>
    </w:p>
    <w:p w14:paraId="6DE71D91" w14:textId="76867789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Ochrana dat - 128-bit AES šifrování </w:t>
      </w:r>
    </w:p>
    <w:p w14:paraId="56662A1A" w14:textId="1FA4B1AA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IP66 </w:t>
      </w:r>
    </w:p>
    <w:p w14:paraId="286A0CFA" w14:textId="0C409A02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FOTA </w:t>
      </w:r>
    </w:p>
    <w:p w14:paraId="07808B05" w14:textId="2560EAA3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Rozhraní DALI2 </w:t>
      </w:r>
    </w:p>
    <w:p w14:paraId="6961FB22" w14:textId="121633A1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 xml:space="preserve">HW I/O pro připojení dalších zařízení </w:t>
      </w:r>
    </w:p>
    <w:p w14:paraId="6EEC29A8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7506F7DB" w14:textId="77777777" w:rsidR="00733011" w:rsidRDefault="00733011" w:rsidP="00733011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</w:t>
      </w:r>
      <w:r>
        <w:rPr>
          <w:b/>
          <w:bCs/>
          <w:color w:val="auto"/>
          <w:sz w:val="22"/>
          <w:szCs w:val="22"/>
        </w:rPr>
        <w:t>izualizace/ovládací rozhraní/</w:t>
      </w:r>
      <w:proofErr w:type="spellStart"/>
      <w:r>
        <w:rPr>
          <w:b/>
          <w:bCs/>
          <w:color w:val="auto"/>
          <w:sz w:val="22"/>
          <w:szCs w:val="22"/>
        </w:rPr>
        <w:t>frontend</w:t>
      </w:r>
      <w:proofErr w:type="spellEnd"/>
      <w:r>
        <w:rPr>
          <w:b/>
          <w:bCs/>
          <w:color w:val="auto"/>
          <w:sz w:val="22"/>
          <w:szCs w:val="22"/>
        </w:rPr>
        <w:t xml:space="preserve"> </w:t>
      </w:r>
    </w:p>
    <w:p w14:paraId="275F8711" w14:textId="3B2F899D" w:rsidR="00733011" w:rsidRDefault="00733011" w:rsidP="00733011">
      <w:pPr>
        <w:pStyle w:val="Default"/>
        <w:numPr>
          <w:ilvl w:val="0"/>
          <w:numId w:val="25"/>
        </w:numPr>
        <w:spacing w:after="28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Přístup standartním webovým prohlížečem bez nutnosti instalace komerčních doplňků </w:t>
      </w:r>
    </w:p>
    <w:p w14:paraId="16CD706B" w14:textId="29BF2EB8" w:rsidR="00733011" w:rsidRDefault="00733011" w:rsidP="00733011">
      <w:pPr>
        <w:pStyle w:val="Default"/>
        <w:numPr>
          <w:ilvl w:val="0"/>
          <w:numId w:val="25"/>
        </w:numPr>
        <w:spacing w:after="28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Škálovatelný přístup – tedy různí uživatelé mají přístup k různým údajům a stupni ovládání, od zcela veřejného po administrátorský </w:t>
      </w:r>
    </w:p>
    <w:p w14:paraId="625E7928" w14:textId="267004CA" w:rsidR="00733011" w:rsidRDefault="00733011" w:rsidP="00733011">
      <w:pPr>
        <w:pStyle w:val="Default"/>
        <w:numPr>
          <w:ilvl w:val="0"/>
          <w:numId w:val="25"/>
        </w:numPr>
        <w:spacing w:after="28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Sdružení všech dostupných informací a ovládacích prvků na jednom místě </w:t>
      </w:r>
    </w:p>
    <w:p w14:paraId="5D5AEDE3" w14:textId="327478D9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Přístup na základě uživatelských práv, kde základní dělení je následující: </w:t>
      </w:r>
    </w:p>
    <w:p w14:paraId="04650F0F" w14:textId="77777777" w:rsidR="00733011" w:rsidRDefault="00733011" w:rsidP="00733011">
      <w:pPr>
        <w:pStyle w:val="Default"/>
        <w:spacing w:after="15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Otevřená data </w:t>
      </w:r>
    </w:p>
    <w:p w14:paraId="33FF7403" w14:textId="77777777" w:rsidR="00733011" w:rsidRDefault="00733011" w:rsidP="00733011">
      <w:pPr>
        <w:pStyle w:val="Default"/>
        <w:ind w:left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Informativní přístup, hlášení poruch </w:t>
      </w:r>
    </w:p>
    <w:p w14:paraId="60245066" w14:textId="77777777" w:rsidR="00733011" w:rsidRDefault="00733011" w:rsidP="00733011">
      <w:pPr>
        <w:pStyle w:val="Default"/>
        <w:rPr>
          <w:color w:val="auto"/>
        </w:rPr>
      </w:pPr>
    </w:p>
    <w:p w14:paraId="6C2D4759" w14:textId="77777777" w:rsidR="00733011" w:rsidRDefault="00733011" w:rsidP="00733011">
      <w:pPr>
        <w:pStyle w:val="Default"/>
        <w:pageBreakBefore/>
        <w:rPr>
          <w:color w:val="auto"/>
        </w:rPr>
      </w:pPr>
    </w:p>
    <w:p w14:paraId="2017098F" w14:textId="77777777" w:rsidR="00733011" w:rsidRDefault="00733011" w:rsidP="00733011">
      <w:pPr>
        <w:pStyle w:val="Default"/>
        <w:spacing w:after="16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0"/>
          <w:szCs w:val="20"/>
        </w:rPr>
        <w:t xml:space="preserve">Uživatelský přístup, řízení, vytváření sestav, verifikace poruch </w:t>
      </w:r>
    </w:p>
    <w:p w14:paraId="2ED67FE7" w14:textId="77777777" w:rsidR="00733011" w:rsidRDefault="00733011" w:rsidP="00733011">
      <w:pPr>
        <w:pStyle w:val="Default"/>
        <w:ind w:firstLine="708"/>
        <w:rPr>
          <w:color w:val="auto"/>
          <w:sz w:val="20"/>
          <w:szCs w:val="20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proofErr w:type="spellStart"/>
      <w:r>
        <w:rPr>
          <w:color w:val="auto"/>
          <w:sz w:val="20"/>
          <w:szCs w:val="20"/>
        </w:rPr>
        <w:t>Admin</w:t>
      </w:r>
      <w:proofErr w:type="spellEnd"/>
      <w:r>
        <w:rPr>
          <w:color w:val="auto"/>
          <w:sz w:val="20"/>
          <w:szCs w:val="20"/>
        </w:rPr>
        <w:t xml:space="preserve">, správa, vytváření vazeb, administrace systému </w:t>
      </w:r>
    </w:p>
    <w:p w14:paraId="75F5894C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67A11447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proofErr w:type="spellStart"/>
      <w:r>
        <w:rPr>
          <w:b/>
          <w:bCs/>
          <w:color w:val="auto"/>
          <w:sz w:val="22"/>
          <w:szCs w:val="22"/>
        </w:rPr>
        <w:t>Backend</w:t>
      </w:r>
      <w:proofErr w:type="spellEnd"/>
      <w:r>
        <w:rPr>
          <w:b/>
          <w:bCs/>
          <w:color w:val="auto"/>
          <w:sz w:val="22"/>
          <w:szCs w:val="22"/>
        </w:rPr>
        <w:t xml:space="preserve">/databázový server </w:t>
      </w:r>
      <w:r>
        <w:rPr>
          <w:color w:val="auto"/>
          <w:sz w:val="20"/>
          <w:szCs w:val="20"/>
        </w:rPr>
        <w:t xml:space="preserve">- technologie </w:t>
      </w:r>
      <w:proofErr w:type="spellStart"/>
      <w:r>
        <w:rPr>
          <w:color w:val="auto"/>
          <w:sz w:val="20"/>
          <w:szCs w:val="20"/>
        </w:rPr>
        <w:t>backendu</w:t>
      </w:r>
      <w:proofErr w:type="spellEnd"/>
      <w:r>
        <w:rPr>
          <w:color w:val="auto"/>
          <w:sz w:val="20"/>
          <w:szCs w:val="20"/>
        </w:rPr>
        <w:t xml:space="preserve"> bezpečně a vždy poskytuje data pro </w:t>
      </w:r>
      <w:proofErr w:type="spellStart"/>
      <w:r>
        <w:rPr>
          <w:color w:val="auto"/>
          <w:sz w:val="20"/>
          <w:szCs w:val="20"/>
        </w:rPr>
        <w:t>frontend</w:t>
      </w:r>
      <w:proofErr w:type="spellEnd"/>
      <w:r>
        <w:rPr>
          <w:color w:val="auto"/>
          <w:sz w:val="20"/>
          <w:szCs w:val="20"/>
        </w:rPr>
        <w:t xml:space="preserve">, zabezpečuje spojení s nižšími síťovými úrovněmi, ukládá a </w:t>
      </w:r>
      <w:proofErr w:type="spellStart"/>
      <w:r>
        <w:rPr>
          <w:color w:val="auto"/>
          <w:sz w:val="20"/>
          <w:szCs w:val="20"/>
        </w:rPr>
        <w:t>distiribuuje</w:t>
      </w:r>
      <w:proofErr w:type="spellEnd"/>
      <w:r>
        <w:rPr>
          <w:color w:val="auto"/>
          <w:sz w:val="20"/>
          <w:szCs w:val="20"/>
        </w:rPr>
        <w:t xml:space="preserve"> získaná data. </w:t>
      </w:r>
    </w:p>
    <w:p w14:paraId="2993E8BF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proofErr w:type="spellStart"/>
      <w:r>
        <w:rPr>
          <w:b/>
          <w:bCs/>
          <w:color w:val="auto"/>
          <w:sz w:val="22"/>
          <w:szCs w:val="22"/>
        </w:rPr>
        <w:t>Gateway</w:t>
      </w:r>
      <w:proofErr w:type="spellEnd"/>
      <w:r>
        <w:rPr>
          <w:b/>
          <w:bCs/>
          <w:color w:val="auto"/>
          <w:sz w:val="22"/>
          <w:szCs w:val="22"/>
        </w:rPr>
        <w:t xml:space="preserve">/rozvaděč veřejného osvětlení </w:t>
      </w:r>
      <w:r>
        <w:rPr>
          <w:b/>
          <w:bCs/>
          <w:color w:val="auto"/>
          <w:sz w:val="20"/>
          <w:szCs w:val="20"/>
        </w:rPr>
        <w:t xml:space="preserve">– </w:t>
      </w:r>
      <w:r>
        <w:rPr>
          <w:color w:val="auto"/>
          <w:sz w:val="20"/>
          <w:szCs w:val="20"/>
        </w:rPr>
        <w:t xml:space="preserve">trvale napájený bod, který řídí napájení připojené sítě a je pak ideální bránou mezi serverovou platformou a jednotlivými koncovými body. Zde je rozhodovací bod hraniční automatizace. Zde se elektrická energie přebírá od distributora a měří. Zde je spínací bod soustavy veřejného osvětlení. </w:t>
      </w:r>
    </w:p>
    <w:p w14:paraId="2A54B204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Funkce zařízení pro vlastní rozvaděč jsou následující: </w:t>
      </w:r>
    </w:p>
    <w:p w14:paraId="0E3E1A00" w14:textId="2C881DB5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Spínání až 4 nezávislých okruhů (stykačů) veřejného osvětlení na základě časového plánu (astronomického kalendáře), dálkového povelu, autonomní iniciace (vstup, podřízené čidlo) </w:t>
      </w:r>
    </w:p>
    <w:p w14:paraId="7F781D9B" w14:textId="7CE88297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Možnost trvalého sepnutí </w:t>
      </w:r>
    </w:p>
    <w:p w14:paraId="3E14B892" w14:textId="7EE6D2E3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stavem sepnutí/vypnutí pro všechny okruhy (stykače) </w:t>
      </w:r>
    </w:p>
    <w:p w14:paraId="3BF99D38" w14:textId="78354E5D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 </w:t>
      </w:r>
      <w:proofErr w:type="gramStart"/>
      <w:r>
        <w:rPr>
          <w:color w:val="auto"/>
          <w:sz w:val="20"/>
          <w:szCs w:val="20"/>
        </w:rPr>
        <w:t>stavem</w:t>
      </w:r>
      <w:proofErr w:type="gramEnd"/>
      <w:r>
        <w:rPr>
          <w:color w:val="auto"/>
          <w:sz w:val="20"/>
          <w:szCs w:val="20"/>
        </w:rPr>
        <w:t xml:space="preserve"> napájecího napětí, stavem hlavního jističe, možnost jeho dálkového nahození (nutný motorový pohon), možný dozor na d stavem jističů </w:t>
      </w:r>
    </w:p>
    <w:p w14:paraId="7211418F" w14:textId="300C4863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stavem dveřního kontaktu/kontaktů (neoprávněné vniknutí, reakční doby údržby) </w:t>
      </w:r>
    </w:p>
    <w:p w14:paraId="1B0D1173" w14:textId="6241C884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Měření napětí, proudu, účiníku po jednotlivých fázích (certifikovaný elektroměr) s možností nastavení hraničních (dozorovaných, dálkově nastavitelných) stavů, měření spotřeby </w:t>
      </w:r>
    </w:p>
    <w:p w14:paraId="5F631E0D" w14:textId="10B665E5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Rozhraní (</w:t>
      </w:r>
      <w:proofErr w:type="spellStart"/>
      <w:r>
        <w:rPr>
          <w:color w:val="auto"/>
          <w:sz w:val="20"/>
          <w:szCs w:val="20"/>
        </w:rPr>
        <w:t>gateway</w:t>
      </w:r>
      <w:proofErr w:type="spellEnd"/>
      <w:r>
        <w:rPr>
          <w:color w:val="auto"/>
          <w:sz w:val="20"/>
          <w:szCs w:val="20"/>
        </w:rPr>
        <w:t xml:space="preserve">) podřízené/nadřízená síť (například RF/GSM) </w:t>
      </w:r>
    </w:p>
    <w:p w14:paraId="7884B82E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169AA64A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Funkce zařízení pro svítidla veřejného, slavnostního a i jiných druhů osvětlení </w:t>
      </w:r>
    </w:p>
    <w:p w14:paraId="45EA15D0" w14:textId="75155BDA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Spínání svítidel anebo skupin svítidel s volitelným výkonem svítidla, skupin svítidel, možnost seskupení do minimálně 8-mi skupin, možnost rozdílných časů spínání pro každou skupinu </w:t>
      </w:r>
    </w:p>
    <w:p w14:paraId="4053977E" w14:textId="4F71A711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Řízení úrovně osvětlení (případně jeho barevné teploty) na základě časového plánu, vnějšího povelu, povelu hraniční automatizace (interakce s dalšími zařízeními v podřízené síti) </w:t>
      </w:r>
    </w:p>
    <w:p w14:paraId="61E788D3" w14:textId="56230E2B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provozními a poruchovými stavy </w:t>
      </w:r>
    </w:p>
    <w:p w14:paraId="0A78EE82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5C629B43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Funkce zařízení pro senzoriku </w:t>
      </w:r>
    </w:p>
    <w:p w14:paraId="4DEB2F5B" w14:textId="31DBB744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Odesílání dat do nadřazeného systému </w:t>
      </w:r>
    </w:p>
    <w:p w14:paraId="5284A3FA" w14:textId="55126BC4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vybranými daty a jejich využití pro řízení soustavy veřejného osvětlení anebo řízení dalších připojených zařízení pomocí hraniční automatizace </w:t>
      </w:r>
    </w:p>
    <w:p w14:paraId="45939991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4A773128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Funkce zařízení pro měření (</w:t>
      </w:r>
      <w:proofErr w:type="spellStart"/>
      <w:r>
        <w:rPr>
          <w:color w:val="auto"/>
          <w:sz w:val="20"/>
          <w:szCs w:val="20"/>
        </w:rPr>
        <w:t>xxxměry</w:t>
      </w:r>
      <w:proofErr w:type="spellEnd"/>
      <w:r>
        <w:rPr>
          <w:color w:val="auto"/>
          <w:sz w:val="20"/>
          <w:szCs w:val="20"/>
        </w:rPr>
        <w:t xml:space="preserve">) </w:t>
      </w:r>
    </w:p>
    <w:p w14:paraId="59A5B16F" w14:textId="7FA3C2DE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Odesílání dat do nadřazeného systému </w:t>
      </w:r>
    </w:p>
    <w:p w14:paraId="4494CA5D" w14:textId="4877CDB0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vybranými daty a jejich využití pro řízení soustavy veřejného osvětlení anebo řízení dalších připojených zařízení pomocí hraniční automatizace </w:t>
      </w:r>
    </w:p>
    <w:p w14:paraId="1B241FDD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53E71F1A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Funkce zařízení pro ovladače (</w:t>
      </w:r>
      <w:proofErr w:type="spellStart"/>
      <w:r>
        <w:rPr>
          <w:color w:val="auto"/>
          <w:sz w:val="20"/>
          <w:szCs w:val="20"/>
        </w:rPr>
        <w:t>aktuátory</w:t>
      </w:r>
      <w:proofErr w:type="spellEnd"/>
      <w:r>
        <w:rPr>
          <w:color w:val="auto"/>
          <w:sz w:val="20"/>
          <w:szCs w:val="20"/>
        </w:rPr>
        <w:t xml:space="preserve">) </w:t>
      </w:r>
    </w:p>
    <w:p w14:paraId="64A0FCAA" w14:textId="7C4453AA" w:rsidR="00733011" w:rsidRDefault="00733011" w:rsidP="00733011">
      <w:pPr>
        <w:pStyle w:val="Default"/>
        <w:numPr>
          <w:ilvl w:val="0"/>
          <w:numId w:val="25"/>
        </w:numPr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Odesílání dat do nadřazeného systému </w:t>
      </w:r>
    </w:p>
    <w:p w14:paraId="0F09E5E5" w14:textId="644AAD06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Dozor nad vybranými daty a jejich využití pro řízení soustavy veřejného osvětlení anebo řízení dalších připojených zařízení pomocí hraniční automatizace </w:t>
      </w:r>
    </w:p>
    <w:p w14:paraId="09C53765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6DEACFD1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Funkce zařízení pro výstupy kamerového systému </w:t>
      </w:r>
    </w:p>
    <w:p w14:paraId="6433729E" w14:textId="6A2E948D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Využití vybraných dat pro přímé řízení soustavy veřejného osvětlení </w:t>
      </w:r>
    </w:p>
    <w:p w14:paraId="24C1149B" w14:textId="1805E308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Využití vybraných dat pro ovládání další připojených zařízení </w:t>
      </w:r>
    </w:p>
    <w:p w14:paraId="22C23B2A" w14:textId="77777777" w:rsidR="00733011" w:rsidRDefault="00733011" w:rsidP="00733011">
      <w:pPr>
        <w:pStyle w:val="Default"/>
        <w:rPr>
          <w:color w:val="auto"/>
        </w:rPr>
      </w:pPr>
    </w:p>
    <w:p w14:paraId="10647980" w14:textId="77777777" w:rsidR="00733011" w:rsidRDefault="00733011" w:rsidP="00733011">
      <w:pPr>
        <w:pStyle w:val="Default"/>
        <w:pageBreakBefore/>
        <w:rPr>
          <w:color w:val="auto"/>
          <w:sz w:val="20"/>
          <w:szCs w:val="20"/>
        </w:rPr>
      </w:pPr>
      <w:r>
        <w:rPr>
          <w:b/>
          <w:bCs/>
          <w:color w:val="auto"/>
          <w:sz w:val="22"/>
          <w:szCs w:val="22"/>
        </w:rPr>
        <w:lastRenderedPageBreak/>
        <w:t xml:space="preserve">Node/uzel/koncový bod </w:t>
      </w:r>
      <w:r>
        <w:rPr>
          <w:b/>
          <w:bCs/>
          <w:color w:val="auto"/>
          <w:sz w:val="20"/>
          <w:szCs w:val="20"/>
        </w:rPr>
        <w:t xml:space="preserve">– </w:t>
      </w:r>
      <w:r>
        <w:rPr>
          <w:color w:val="auto"/>
          <w:sz w:val="20"/>
          <w:szCs w:val="20"/>
        </w:rPr>
        <w:t xml:space="preserve">jakékoliv výše zmiňované připojené zařízení, které je buď napájeno trvale ze sítě veřejného osvětlení (anebo z jiného dostupného napájecího bodu), nebo má bateriové napájení. Je to zařízení, které je zařazeno do </w:t>
      </w:r>
      <w:proofErr w:type="spellStart"/>
      <w:r>
        <w:rPr>
          <w:color w:val="auto"/>
          <w:sz w:val="20"/>
          <w:szCs w:val="20"/>
        </w:rPr>
        <w:t>meshové</w:t>
      </w:r>
      <w:proofErr w:type="spellEnd"/>
      <w:r>
        <w:rPr>
          <w:color w:val="auto"/>
          <w:sz w:val="20"/>
          <w:szCs w:val="20"/>
        </w:rPr>
        <w:t xml:space="preserve"> sítě a tuto síť využívá pro přenos svých stavů a dat, slouží zároveň pro přenos dat z ostatních zařízení, je aktivním prvkem sítě s možnou obousměrnou komunikací. </w:t>
      </w:r>
    </w:p>
    <w:p w14:paraId="7995E2A9" w14:textId="77777777" w:rsidR="00733011" w:rsidRDefault="00733011" w:rsidP="00733011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Příklady možných interakcí </w:t>
      </w:r>
    </w:p>
    <w:p w14:paraId="06257252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Na základě hraniční automatizace mezi sebou mohou koncová zařízení </w:t>
      </w:r>
      <w:proofErr w:type="spellStart"/>
      <w:r>
        <w:rPr>
          <w:color w:val="auto"/>
          <w:sz w:val="20"/>
          <w:szCs w:val="20"/>
        </w:rPr>
        <w:t>interahovat</w:t>
      </w:r>
      <w:proofErr w:type="spellEnd"/>
      <w:r>
        <w:rPr>
          <w:color w:val="auto"/>
          <w:sz w:val="20"/>
          <w:szCs w:val="20"/>
        </w:rPr>
        <w:t xml:space="preserve">. Některé z možných interakcí nejen ve vazbě na veřejné osvětlení jsou popsány dále: </w:t>
      </w:r>
    </w:p>
    <w:p w14:paraId="659F7041" w14:textId="7F9B09E8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Měření průjezdu vozidel – rozvaděč veřejného osvětlení – skupina svítidel (svítidlo) – řízení osvětlení </w:t>
      </w:r>
    </w:p>
    <w:p w14:paraId="30A25DDB" w14:textId="79D7FAF2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Kamerový systém (detekce chodců) – rozvaděč veřejného osvětlení – skupina svítidel (svítidlo) – řízení osvětlení </w:t>
      </w:r>
    </w:p>
    <w:p w14:paraId="5FF77824" w14:textId="6DC304E1" w:rsidR="00733011" w:rsidRDefault="00733011" w:rsidP="00733011">
      <w:pPr>
        <w:pStyle w:val="Default"/>
        <w:numPr>
          <w:ilvl w:val="0"/>
          <w:numId w:val="25"/>
        </w:numPr>
        <w:spacing w:after="25"/>
        <w:rPr>
          <w:color w:val="auto"/>
          <w:sz w:val="20"/>
          <w:szCs w:val="20"/>
        </w:rPr>
      </w:pPr>
      <w:proofErr w:type="spellStart"/>
      <w:r>
        <w:rPr>
          <w:color w:val="auto"/>
          <w:sz w:val="20"/>
          <w:szCs w:val="20"/>
        </w:rPr>
        <w:t>Enviromentální</w:t>
      </w:r>
      <w:proofErr w:type="spellEnd"/>
      <w:r>
        <w:rPr>
          <w:color w:val="auto"/>
          <w:sz w:val="20"/>
          <w:szCs w:val="20"/>
        </w:rPr>
        <w:t xml:space="preserve"> senzor (vlhkost teplota) - parkovací detektor nebo detektor průjezdu vozidel (teplota pod povrchem komunikace) – piktogram (námraza) </w:t>
      </w:r>
    </w:p>
    <w:p w14:paraId="33C8F843" w14:textId="6D9F2C63" w:rsidR="00733011" w:rsidRDefault="00733011" w:rsidP="00733011">
      <w:pPr>
        <w:pStyle w:val="Default"/>
        <w:numPr>
          <w:ilvl w:val="0"/>
          <w:numId w:val="25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Kamerový systém (zájmová situace) – rozvaděč veřejného osvětlení – skupina svítidel (svítidlo) – řízení osvětlení </w:t>
      </w:r>
    </w:p>
    <w:p w14:paraId="3FE8ED7E" w14:textId="77777777" w:rsidR="00733011" w:rsidRDefault="00733011" w:rsidP="00733011">
      <w:pPr>
        <w:pStyle w:val="Default"/>
        <w:rPr>
          <w:color w:val="auto"/>
          <w:sz w:val="20"/>
          <w:szCs w:val="20"/>
        </w:rPr>
      </w:pPr>
    </w:p>
    <w:p w14:paraId="61DD6D3D" w14:textId="0E76CD86" w:rsidR="00733011" w:rsidRDefault="00733011" w:rsidP="00733011">
      <w:pPr>
        <w:rPr>
          <w:b/>
          <w:bCs/>
        </w:rPr>
      </w:pPr>
      <w:proofErr w:type="spellStart"/>
      <w:r>
        <w:rPr>
          <w:b/>
          <w:bCs/>
        </w:rPr>
        <w:t>Screenshoty</w:t>
      </w:r>
      <w:proofErr w:type="spellEnd"/>
      <w:r>
        <w:rPr>
          <w:b/>
          <w:bCs/>
        </w:rPr>
        <w:t xml:space="preserve"> reálných aplikací</w:t>
      </w:r>
    </w:p>
    <w:p w14:paraId="7EB75562" w14:textId="1A1B54E6" w:rsidR="00733011" w:rsidRDefault="00733011" w:rsidP="00733011">
      <w:r w:rsidRPr="00733011">
        <w:rPr>
          <w:noProof/>
          <w:lang w:eastAsia="cs-CZ"/>
        </w:rPr>
        <w:drawing>
          <wp:inline distT="0" distB="0" distL="0" distR="0" wp14:anchorId="45CABDFC" wp14:editId="5143337E">
            <wp:extent cx="5760720" cy="24364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B327" w14:textId="68576100" w:rsidR="00733011" w:rsidRPr="00C4067C" w:rsidRDefault="00733011" w:rsidP="00733011">
      <w:pPr>
        <w:rPr>
          <w:i/>
          <w:iCs/>
        </w:rPr>
      </w:pPr>
      <w:proofErr w:type="gramStart"/>
      <w:r w:rsidRPr="00C4067C">
        <w:rPr>
          <w:i/>
          <w:iCs/>
        </w:rPr>
        <w:t>Obr.</w:t>
      </w:r>
      <w:r w:rsidR="00C4067C" w:rsidRPr="00C4067C">
        <w:rPr>
          <w:i/>
          <w:iCs/>
        </w:rPr>
        <w:t>2</w:t>
      </w:r>
      <w:r w:rsidRPr="00C4067C">
        <w:rPr>
          <w:i/>
          <w:iCs/>
        </w:rPr>
        <w:t>:</w:t>
      </w:r>
      <w:proofErr w:type="gramEnd"/>
      <w:r w:rsidRPr="00C4067C">
        <w:rPr>
          <w:i/>
          <w:iCs/>
        </w:rPr>
        <w:t xml:space="preserve"> Příklad jednoduchého přehledného uživatelského prostředí</w:t>
      </w:r>
    </w:p>
    <w:sectPr w:rsidR="00733011" w:rsidRPr="00C4067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62766" w14:textId="77777777" w:rsidR="00491FA0" w:rsidRDefault="00491FA0" w:rsidP="00023FE1">
      <w:pPr>
        <w:spacing w:after="0" w:line="240" w:lineRule="auto"/>
      </w:pPr>
      <w:r>
        <w:separator/>
      </w:r>
    </w:p>
  </w:endnote>
  <w:endnote w:type="continuationSeparator" w:id="0">
    <w:p w14:paraId="4A4B7B29" w14:textId="77777777" w:rsidR="00491FA0" w:rsidRDefault="00491FA0" w:rsidP="00023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5939551"/>
      <w:docPartObj>
        <w:docPartGallery w:val="Page Numbers (Bottom of Page)"/>
        <w:docPartUnique/>
      </w:docPartObj>
    </w:sdtPr>
    <w:sdtEndPr/>
    <w:sdtContent>
      <w:p w14:paraId="13072C4A" w14:textId="091D91E5" w:rsidR="00733011" w:rsidRDefault="0073301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DA2">
          <w:rPr>
            <w:noProof/>
          </w:rPr>
          <w:t>10</w:t>
        </w:r>
        <w:r>
          <w:fldChar w:fldCharType="end"/>
        </w:r>
      </w:p>
    </w:sdtContent>
  </w:sdt>
  <w:p w14:paraId="153ADD97" w14:textId="77777777" w:rsidR="00733011" w:rsidRDefault="00733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73EB8" w14:textId="77777777" w:rsidR="00491FA0" w:rsidRDefault="00491FA0" w:rsidP="00023FE1">
      <w:pPr>
        <w:spacing w:after="0" w:line="240" w:lineRule="auto"/>
      </w:pPr>
      <w:r>
        <w:separator/>
      </w:r>
    </w:p>
  </w:footnote>
  <w:footnote w:type="continuationSeparator" w:id="0">
    <w:p w14:paraId="3D9C7E27" w14:textId="77777777" w:rsidR="00491FA0" w:rsidRDefault="00491FA0" w:rsidP="00023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CBF9F" w14:textId="3CA695B8" w:rsidR="00733011" w:rsidRDefault="00733011" w:rsidP="007561EA">
    <w:r>
      <w:rPr>
        <w:b/>
        <w:i/>
        <w:noProof/>
        <w:sz w:val="36"/>
        <w:lang w:eastAsia="cs-CZ"/>
      </w:rPr>
      <w:drawing>
        <wp:anchor distT="0" distB="0" distL="114300" distR="114300" simplePos="0" relativeHeight="251662336" behindDoc="0" locked="0" layoutInCell="1" allowOverlap="1" wp14:anchorId="77881A40" wp14:editId="3B641032">
          <wp:simplePos x="0" y="0"/>
          <wp:positionH relativeFrom="margin">
            <wp:align>right</wp:align>
          </wp:positionH>
          <wp:positionV relativeFrom="paragraph">
            <wp:posOffset>-153035</wp:posOffset>
          </wp:positionV>
          <wp:extent cx="487680" cy="607112"/>
          <wp:effectExtent l="0" t="0" r="7620" b="254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607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7DA2">
      <w:rPr>
        <w:noProof/>
        <w:lang w:eastAsia="cs-CZ"/>
      </w:rPr>
      <w:drawing>
        <wp:inline distT="0" distB="0" distL="0" distR="0" wp14:anchorId="5DCA9AB8" wp14:editId="409E6DBE">
          <wp:extent cx="2720340" cy="563245"/>
          <wp:effectExtent l="0" t="0" r="3810" b="8255"/>
          <wp:docPr id="5" name="Obrázek 5" descr="https://www.mestokralupy.cz/gallery/pages/mesto/rozvoj-mesta/strategicke-dokumenty-mesta/32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 descr="https://www.mestokralupy.cz/gallery/pages/mesto/rozvoj-mesta/strategicke-dokumenty-mesta/32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34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601865" w14:textId="77777777" w:rsidR="00733011" w:rsidRDefault="0073301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C957053"/>
    <w:multiLevelType w:val="hybridMultilevel"/>
    <w:tmpl w:val="10A39D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F8945D5"/>
    <w:multiLevelType w:val="hybridMultilevel"/>
    <w:tmpl w:val="2316C4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3A07FA7"/>
    <w:multiLevelType w:val="hybridMultilevel"/>
    <w:tmpl w:val="AA8F71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9BEE542"/>
    <w:multiLevelType w:val="hybridMultilevel"/>
    <w:tmpl w:val="64EC4625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2B04F7"/>
    <w:multiLevelType w:val="hybridMultilevel"/>
    <w:tmpl w:val="CDF5A7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172E890"/>
    <w:multiLevelType w:val="hybridMultilevel"/>
    <w:tmpl w:val="3380AD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D99510C"/>
    <w:multiLevelType w:val="multilevel"/>
    <w:tmpl w:val="FCA2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E34274"/>
    <w:multiLevelType w:val="hybridMultilevel"/>
    <w:tmpl w:val="463E2A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461EE"/>
    <w:multiLevelType w:val="hybridMultilevel"/>
    <w:tmpl w:val="E71A88AA"/>
    <w:lvl w:ilvl="0" w:tplc="76F6276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D0C31"/>
    <w:multiLevelType w:val="hybridMultilevel"/>
    <w:tmpl w:val="B6B4301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FDC6D14"/>
    <w:multiLevelType w:val="hybridMultilevel"/>
    <w:tmpl w:val="BE44B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6CA"/>
    <w:multiLevelType w:val="multilevel"/>
    <w:tmpl w:val="2D3CA782"/>
    <w:lvl w:ilvl="0">
      <w:start w:val="7"/>
      <w:numFmt w:val="decimal"/>
      <w:lvlText w:val="%1"/>
      <w:lvlJc w:val="left"/>
      <w:pPr>
        <w:ind w:left="944" w:hanging="708"/>
      </w:pPr>
      <w:rPr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944" w:hanging="708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cs-CZ" w:eastAsia="cs-CZ" w:bidi="cs-CZ"/>
      </w:rPr>
    </w:lvl>
    <w:lvl w:ilvl="2">
      <w:start w:val="1"/>
      <w:numFmt w:val="decimal"/>
      <w:lvlText w:val="%1.%2.%3."/>
      <w:lvlJc w:val="left"/>
      <w:pPr>
        <w:ind w:left="944" w:hanging="70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cs-CZ" w:eastAsia="cs-CZ" w:bidi="cs-CZ"/>
      </w:rPr>
    </w:lvl>
    <w:lvl w:ilvl="3">
      <w:numFmt w:val="bullet"/>
      <w:lvlText w:val="•"/>
      <w:lvlJc w:val="left"/>
      <w:pPr>
        <w:ind w:left="3527" w:hanging="708"/>
      </w:pPr>
      <w:rPr>
        <w:lang w:val="cs-CZ" w:eastAsia="cs-CZ" w:bidi="cs-CZ"/>
      </w:rPr>
    </w:lvl>
    <w:lvl w:ilvl="4">
      <w:numFmt w:val="bullet"/>
      <w:lvlText w:val="•"/>
      <w:lvlJc w:val="left"/>
      <w:pPr>
        <w:ind w:left="4390" w:hanging="708"/>
      </w:pPr>
      <w:rPr>
        <w:lang w:val="cs-CZ" w:eastAsia="cs-CZ" w:bidi="cs-CZ"/>
      </w:rPr>
    </w:lvl>
    <w:lvl w:ilvl="5">
      <w:numFmt w:val="bullet"/>
      <w:lvlText w:val="•"/>
      <w:lvlJc w:val="left"/>
      <w:pPr>
        <w:ind w:left="5252" w:hanging="708"/>
      </w:pPr>
      <w:rPr>
        <w:lang w:val="cs-CZ" w:eastAsia="cs-CZ" w:bidi="cs-CZ"/>
      </w:rPr>
    </w:lvl>
    <w:lvl w:ilvl="6">
      <w:numFmt w:val="bullet"/>
      <w:lvlText w:val="•"/>
      <w:lvlJc w:val="left"/>
      <w:pPr>
        <w:ind w:left="6115" w:hanging="708"/>
      </w:pPr>
      <w:rPr>
        <w:lang w:val="cs-CZ" w:eastAsia="cs-CZ" w:bidi="cs-CZ"/>
      </w:rPr>
    </w:lvl>
    <w:lvl w:ilvl="7">
      <w:numFmt w:val="bullet"/>
      <w:lvlText w:val="•"/>
      <w:lvlJc w:val="left"/>
      <w:pPr>
        <w:ind w:left="6977" w:hanging="708"/>
      </w:pPr>
      <w:rPr>
        <w:lang w:val="cs-CZ" w:eastAsia="cs-CZ" w:bidi="cs-CZ"/>
      </w:rPr>
    </w:lvl>
    <w:lvl w:ilvl="8">
      <w:numFmt w:val="bullet"/>
      <w:lvlText w:val="•"/>
      <w:lvlJc w:val="left"/>
      <w:pPr>
        <w:ind w:left="7840" w:hanging="708"/>
      </w:pPr>
      <w:rPr>
        <w:lang w:val="cs-CZ" w:eastAsia="cs-CZ" w:bidi="cs-CZ"/>
      </w:rPr>
    </w:lvl>
  </w:abstractNum>
  <w:abstractNum w:abstractNumId="12" w15:restartNumberingAfterBreak="0">
    <w:nsid w:val="254E2EE9"/>
    <w:multiLevelType w:val="hybridMultilevel"/>
    <w:tmpl w:val="C1ECD5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89CD6B7"/>
    <w:multiLevelType w:val="hybridMultilevel"/>
    <w:tmpl w:val="1DB45E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A762E74"/>
    <w:multiLevelType w:val="hybridMultilevel"/>
    <w:tmpl w:val="B8E80A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472A7"/>
    <w:multiLevelType w:val="hybridMultilevel"/>
    <w:tmpl w:val="7A6EE1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EDF66BB"/>
    <w:multiLevelType w:val="hybridMultilevel"/>
    <w:tmpl w:val="03122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30A49"/>
    <w:multiLevelType w:val="hybridMultilevel"/>
    <w:tmpl w:val="6C44D3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2115C"/>
    <w:multiLevelType w:val="hybridMultilevel"/>
    <w:tmpl w:val="69A8C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A14DE"/>
    <w:multiLevelType w:val="hybridMultilevel"/>
    <w:tmpl w:val="9D30A7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A8CD8D"/>
    <w:multiLevelType w:val="hybridMultilevel"/>
    <w:tmpl w:val="EAF1CC7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94C57C1"/>
    <w:multiLevelType w:val="hybridMultilevel"/>
    <w:tmpl w:val="C108E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C8EA0"/>
    <w:multiLevelType w:val="hybridMultilevel"/>
    <w:tmpl w:val="4F15B4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EBC790C"/>
    <w:multiLevelType w:val="hybridMultilevel"/>
    <w:tmpl w:val="3DC63D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34D19"/>
    <w:multiLevelType w:val="hybridMultilevel"/>
    <w:tmpl w:val="11184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6F1809"/>
    <w:multiLevelType w:val="hybridMultilevel"/>
    <w:tmpl w:val="7CFAF2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E23990"/>
    <w:multiLevelType w:val="hybridMultilevel"/>
    <w:tmpl w:val="AD943E7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4A5713B2"/>
    <w:multiLevelType w:val="hybridMultilevel"/>
    <w:tmpl w:val="035175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4C5B6DF5"/>
    <w:multiLevelType w:val="hybridMultilevel"/>
    <w:tmpl w:val="3906F1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4EA31214"/>
    <w:multiLevelType w:val="hybridMultilevel"/>
    <w:tmpl w:val="999224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C32B09"/>
    <w:multiLevelType w:val="hybridMultilevel"/>
    <w:tmpl w:val="6422E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631161"/>
    <w:multiLevelType w:val="hybridMultilevel"/>
    <w:tmpl w:val="F2FA18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E30D5"/>
    <w:multiLevelType w:val="hybridMultilevel"/>
    <w:tmpl w:val="52E0F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6605DB"/>
    <w:multiLevelType w:val="hybridMultilevel"/>
    <w:tmpl w:val="984873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E66B1D"/>
    <w:multiLevelType w:val="hybridMultilevel"/>
    <w:tmpl w:val="275449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B20A09"/>
    <w:multiLevelType w:val="hybridMultilevel"/>
    <w:tmpl w:val="36E4450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3580D20"/>
    <w:multiLevelType w:val="hybridMultilevel"/>
    <w:tmpl w:val="4587A0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65ED7D7A"/>
    <w:multiLevelType w:val="multilevel"/>
    <w:tmpl w:val="1C52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BC838BF"/>
    <w:multiLevelType w:val="multilevel"/>
    <w:tmpl w:val="7784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CC04118"/>
    <w:multiLevelType w:val="hybridMultilevel"/>
    <w:tmpl w:val="D35CF4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8D4C3C"/>
    <w:multiLevelType w:val="hybridMultilevel"/>
    <w:tmpl w:val="B3CE79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B96088"/>
    <w:multiLevelType w:val="hybridMultilevel"/>
    <w:tmpl w:val="FC7A8A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B658B"/>
    <w:multiLevelType w:val="hybridMultilevel"/>
    <w:tmpl w:val="DAB293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6120A"/>
    <w:multiLevelType w:val="hybridMultilevel"/>
    <w:tmpl w:val="91EED9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8"/>
  </w:num>
  <w:num w:numId="3">
    <w:abstractNumId w:val="40"/>
  </w:num>
  <w:num w:numId="4">
    <w:abstractNumId w:val="29"/>
  </w:num>
  <w:num w:numId="5">
    <w:abstractNumId w:val="39"/>
  </w:num>
  <w:num w:numId="6">
    <w:abstractNumId w:val="2"/>
  </w:num>
  <w:num w:numId="7">
    <w:abstractNumId w:val="4"/>
  </w:num>
  <w:num w:numId="8">
    <w:abstractNumId w:val="27"/>
  </w:num>
  <w:num w:numId="9">
    <w:abstractNumId w:val="0"/>
  </w:num>
  <w:num w:numId="10">
    <w:abstractNumId w:val="26"/>
  </w:num>
  <w:num w:numId="11">
    <w:abstractNumId w:val="3"/>
  </w:num>
  <w:num w:numId="12">
    <w:abstractNumId w:val="22"/>
  </w:num>
  <w:num w:numId="13">
    <w:abstractNumId w:val="12"/>
  </w:num>
  <w:num w:numId="14">
    <w:abstractNumId w:val="15"/>
  </w:num>
  <w:num w:numId="15">
    <w:abstractNumId w:val="1"/>
  </w:num>
  <w:num w:numId="16">
    <w:abstractNumId w:val="13"/>
  </w:num>
  <w:num w:numId="17">
    <w:abstractNumId w:val="20"/>
  </w:num>
  <w:num w:numId="18">
    <w:abstractNumId w:val="28"/>
  </w:num>
  <w:num w:numId="19">
    <w:abstractNumId w:val="5"/>
  </w:num>
  <w:num w:numId="20">
    <w:abstractNumId w:val="36"/>
  </w:num>
  <w:num w:numId="21">
    <w:abstractNumId w:val="9"/>
  </w:num>
  <w:num w:numId="22">
    <w:abstractNumId w:val="41"/>
  </w:num>
  <w:num w:numId="23">
    <w:abstractNumId w:val="30"/>
  </w:num>
  <w:num w:numId="24">
    <w:abstractNumId w:val="31"/>
  </w:num>
  <w:num w:numId="25">
    <w:abstractNumId w:val="42"/>
  </w:num>
  <w:num w:numId="26">
    <w:abstractNumId w:val="34"/>
  </w:num>
  <w:num w:numId="27">
    <w:abstractNumId w:val="33"/>
  </w:num>
  <w:num w:numId="28">
    <w:abstractNumId w:val="24"/>
  </w:num>
  <w:num w:numId="29">
    <w:abstractNumId w:val="14"/>
  </w:num>
  <w:num w:numId="30">
    <w:abstractNumId w:val="32"/>
  </w:num>
  <w:num w:numId="31">
    <w:abstractNumId w:val="17"/>
  </w:num>
  <w:num w:numId="32">
    <w:abstractNumId w:val="43"/>
  </w:num>
  <w:num w:numId="33">
    <w:abstractNumId w:val="21"/>
  </w:num>
  <w:num w:numId="34">
    <w:abstractNumId w:val="25"/>
  </w:num>
  <w:num w:numId="35">
    <w:abstractNumId w:val="7"/>
  </w:num>
  <w:num w:numId="36">
    <w:abstractNumId w:val="23"/>
  </w:num>
  <w:num w:numId="37">
    <w:abstractNumId w:val="19"/>
  </w:num>
  <w:num w:numId="38">
    <w:abstractNumId w:val="10"/>
  </w:num>
  <w:num w:numId="39">
    <w:abstractNumId w:val="18"/>
  </w:num>
  <w:num w:numId="40">
    <w:abstractNumId w:val="35"/>
  </w:num>
  <w:num w:numId="41">
    <w:abstractNumId w:val="16"/>
  </w:num>
  <w:num w:numId="42">
    <w:abstractNumId w:val="38"/>
  </w:num>
  <w:num w:numId="43">
    <w:abstractNumId w:val="6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E1"/>
    <w:rsid w:val="0002324D"/>
    <w:rsid w:val="00023FE1"/>
    <w:rsid w:val="000A75F0"/>
    <w:rsid w:val="001F5380"/>
    <w:rsid w:val="002E4256"/>
    <w:rsid w:val="003102FA"/>
    <w:rsid w:val="00361541"/>
    <w:rsid w:val="003A5F2E"/>
    <w:rsid w:val="003F7C08"/>
    <w:rsid w:val="00440574"/>
    <w:rsid w:val="00491FA0"/>
    <w:rsid w:val="004C0DBC"/>
    <w:rsid w:val="004E0749"/>
    <w:rsid w:val="005772B9"/>
    <w:rsid w:val="006C1B83"/>
    <w:rsid w:val="006F5764"/>
    <w:rsid w:val="006F6135"/>
    <w:rsid w:val="00725A36"/>
    <w:rsid w:val="00733011"/>
    <w:rsid w:val="007561EA"/>
    <w:rsid w:val="00831F1D"/>
    <w:rsid w:val="009531E5"/>
    <w:rsid w:val="00A12651"/>
    <w:rsid w:val="00A27B72"/>
    <w:rsid w:val="00A442FF"/>
    <w:rsid w:val="00A94DF2"/>
    <w:rsid w:val="00AA089B"/>
    <w:rsid w:val="00AC7E6C"/>
    <w:rsid w:val="00C2303E"/>
    <w:rsid w:val="00C3647C"/>
    <w:rsid w:val="00C4067C"/>
    <w:rsid w:val="00C446D9"/>
    <w:rsid w:val="00C77EBC"/>
    <w:rsid w:val="00C94565"/>
    <w:rsid w:val="00D82D84"/>
    <w:rsid w:val="00DE182F"/>
    <w:rsid w:val="00ED4903"/>
    <w:rsid w:val="00EE04F5"/>
    <w:rsid w:val="00EE3D52"/>
    <w:rsid w:val="00EE6E95"/>
    <w:rsid w:val="00EE7DA2"/>
    <w:rsid w:val="00F55E29"/>
    <w:rsid w:val="00F9641C"/>
    <w:rsid w:val="00FE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5B9CF"/>
  <w15:chartTrackingRefBased/>
  <w15:docId w15:val="{D7B862F4-02F5-437D-A3D5-DCFD1EFE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2D84"/>
  </w:style>
  <w:style w:type="paragraph" w:styleId="Nadpis1">
    <w:name w:val="heading 1"/>
    <w:basedOn w:val="Normln"/>
    <w:next w:val="Normln"/>
    <w:link w:val="Nadpis1Char"/>
    <w:uiPriority w:val="9"/>
    <w:qFormat/>
    <w:rsid w:val="00C230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7561EA"/>
    <w:pPr>
      <w:widowControl w:val="0"/>
      <w:autoSpaceDE w:val="0"/>
      <w:autoSpaceDN w:val="0"/>
      <w:spacing w:after="0" w:line="240" w:lineRule="auto"/>
      <w:ind w:left="944" w:hanging="709"/>
      <w:jc w:val="both"/>
      <w:outlineLvl w:val="1"/>
    </w:pPr>
    <w:rPr>
      <w:rFonts w:ascii="Calibri" w:eastAsia="Calibri" w:hAnsi="Calibri" w:cs="Calibri"/>
      <w:b/>
      <w:bCs/>
      <w:sz w:val="24"/>
      <w:szCs w:val="24"/>
      <w:lang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561EA"/>
    <w:rPr>
      <w:rFonts w:ascii="Calibri" w:eastAsia="Calibri" w:hAnsi="Calibri" w:cs="Calibri"/>
      <w:b/>
      <w:bCs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uiPriority w:val="1"/>
    <w:semiHidden/>
    <w:unhideWhenUsed/>
    <w:qFormat/>
    <w:rsid w:val="007561EA"/>
    <w:pPr>
      <w:widowControl w:val="0"/>
      <w:autoSpaceDE w:val="0"/>
      <w:autoSpaceDN w:val="0"/>
      <w:spacing w:after="0" w:line="240" w:lineRule="auto"/>
      <w:ind w:left="235"/>
    </w:pPr>
    <w:rPr>
      <w:rFonts w:ascii="Calibri" w:eastAsia="Calibri" w:hAnsi="Calibri" w:cs="Calibri"/>
      <w:lang w:eastAsia="cs-CZ"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7561EA"/>
    <w:rPr>
      <w:rFonts w:ascii="Calibri" w:eastAsia="Calibri" w:hAnsi="Calibri" w:cs="Calibri"/>
      <w:lang w:eastAsia="cs-CZ" w:bidi="cs-CZ"/>
    </w:rPr>
  </w:style>
  <w:style w:type="paragraph" w:styleId="Zhlav">
    <w:name w:val="header"/>
    <w:basedOn w:val="Normln"/>
    <w:link w:val="ZhlavChar"/>
    <w:uiPriority w:val="99"/>
    <w:unhideWhenUsed/>
    <w:rsid w:val="00756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61EA"/>
  </w:style>
  <w:style w:type="paragraph" w:styleId="Zpat">
    <w:name w:val="footer"/>
    <w:basedOn w:val="Normln"/>
    <w:link w:val="ZpatChar"/>
    <w:uiPriority w:val="99"/>
    <w:unhideWhenUsed/>
    <w:rsid w:val="00756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61EA"/>
  </w:style>
  <w:style w:type="character" w:customStyle="1" w:styleId="Nadpis1Char">
    <w:name w:val="Nadpis 1 Char"/>
    <w:basedOn w:val="Standardnpsmoodstavce"/>
    <w:link w:val="Nadpis1"/>
    <w:uiPriority w:val="9"/>
    <w:rsid w:val="00C230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D82D8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7330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6C1B8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B8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B8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B8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B8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B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1134</TotalTime>
  <Pages>10</Pages>
  <Words>2528</Words>
  <Characters>14921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Aleš Levý</cp:lastModifiedBy>
  <cp:revision>3</cp:revision>
  <dcterms:created xsi:type="dcterms:W3CDTF">2019-11-04T23:06:00Z</dcterms:created>
  <dcterms:modified xsi:type="dcterms:W3CDTF">2021-05-10T08:09:00Z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owner="Cejpek Miroslav" position="TopRight" marginX="0" marginY="0" classifiedOn="2019-11-05T00:06:21.26408</vt:lpwstr>
  </property>
  <property fmtid="{D5CDD505-2E9C-101B-9397-08002B2CF9AE}" pid="3" name="DocumentTagging.ClassificationMark.P01">
    <vt:lpwstr>36+01:00" showPrintedBy="false" showPrintDate="false" language="cs" ApplicationVersion="Microsoft Word, 16.0" addinVersion="5.10.5.31" template="CEZ"&gt;&lt;history bulk="false" class="Veřejné" code="C0" user="CEZES\cejpekmir" divisionPrefix="ESL" mappingV</vt:lpwstr>
  </property>
  <property fmtid="{D5CDD505-2E9C-101B-9397-08002B2CF9AE}" pid="4" name="DocumentTagging.ClassificationMark.P02">
    <vt:lpwstr>ersion="1" date="2019-11-05T00:06:21.2647114+01:00"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